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8.0.0 -->
  <w:body>
    <w:p>
      <w:pPr>
        <w:widowControl/>
        <w:shd w:val="clear" w:color="auto" w:fill="FFFFFF"/>
        <w:spacing w:line="837" w:lineRule="atLeast"/>
        <w:jc w:val="center"/>
        <w:outlineLvl w:val="1"/>
        <w:rPr>
          <w:rFonts w:ascii="微软雅黑" w:hAnsi="微软雅黑" w:cs="宋体"/>
          <w:b/>
          <w:bCs/>
          <w:color w:val="004EA2"/>
          <w:kern w:val="0"/>
          <w:sz w:val="27"/>
          <w:szCs w:val="27"/>
        </w:rPr>
      </w:pPr>
      <w:r>
        <w:rPr>
          <w:rFonts w:ascii="微软雅黑" w:hAnsi="微软雅黑" w:cs="宋体" w:hint="eastAsia"/>
          <w:b/>
          <w:bCs/>
          <w:color w:val="004EA2"/>
          <w:kern w:val="0"/>
          <w:sz w:val="27"/>
          <w:szCs w:val="27"/>
        </w:rPr>
        <w:t>半年添益2006期</w:t>
      </w:r>
      <w:r>
        <w:rPr>
          <w:rFonts w:ascii="微软雅黑" w:eastAsia="微软雅黑" w:hAnsi="微软雅黑" w:cs="微软雅黑"/>
          <w:b/>
          <w:color w:val="004EA2"/>
          <w:sz w:val="27"/>
        </w:rPr>
        <w:t>（</w:t>
      </w:r>
      <w:r>
        <w:rPr>
          <w:rFonts w:ascii="微软雅黑" w:eastAsia="微软雅黑" w:hAnsi="微软雅黑" w:cs="微软雅黑"/>
          <w:b/>
          <w:color w:val="004EA2"/>
          <w:sz w:val="27"/>
        </w:rPr>
        <w:t>TYG6M2006</w:t>
      </w:r>
      <w:r>
        <w:rPr>
          <w:rFonts w:ascii="微软雅黑" w:eastAsia="微软雅黑" w:hAnsi="微软雅黑" w:cs="微软雅黑"/>
          <w:b/>
          <w:color w:val="004EA2"/>
          <w:sz w:val="27"/>
        </w:rPr>
        <w:t>）</w:t>
      </w:r>
    </w:p>
    <w:p>
      <w:pPr>
        <w:widowControl/>
        <w:shd w:val="clear" w:color="auto" w:fill="FFFFFF"/>
        <w:spacing w:line="837" w:lineRule="atLeast"/>
        <w:jc w:val="center"/>
        <w:outlineLvl w:val="1"/>
        <w:rPr>
          <w:rFonts w:ascii="微软雅黑" w:hAnsi="微软雅黑" w:cs="宋体"/>
          <w:b/>
          <w:bCs/>
          <w:color w:val="004EA2"/>
          <w:kern w:val="0"/>
          <w:sz w:val="27"/>
          <w:szCs w:val="27"/>
        </w:rPr>
      </w:pPr>
      <w:r>
        <w:rPr>
          <w:rFonts w:ascii="微软雅黑" w:hAnsi="微软雅黑" w:cs="宋体" w:hint="eastAsia"/>
          <w:b/>
          <w:bCs/>
          <w:color w:val="004EA2"/>
          <w:kern w:val="0"/>
          <w:sz w:val="27"/>
          <w:szCs w:val="27"/>
        </w:rPr>
        <w:t>业绩比较基准及开放期公告</w:t>
      </w:r>
    </w:p>
    <w:p>
      <w:pPr>
        <w:widowControl/>
        <w:tabs>
          <w:tab w:val="left" w:pos="2930"/>
        </w:tabs>
        <w:jc w:val="left"/>
        <w:rPr>
          <w:rFonts w:ascii="宋体" w:hAnsi="宋体" w:cs="宋体"/>
          <w:color w:val="333333"/>
          <w:kern w:val="0"/>
          <w:sz w:val="24"/>
        </w:rPr>
      </w:pPr>
    </w:p>
    <w:p>
      <w:pPr>
        <w:widowControl/>
        <w:tabs>
          <w:tab w:val="left" w:pos="2930"/>
        </w:tabs>
        <w:jc w:val="left"/>
        <w:rPr>
          <w:rFonts w:ascii="宋体" w:hAnsi="宋体" w:cs="宋体"/>
          <w:color w:val="333333"/>
          <w:kern w:val="0"/>
          <w:sz w:val="24"/>
        </w:rPr>
      </w:pPr>
      <w:r>
        <w:rPr>
          <w:rFonts w:ascii="宋体" w:hAnsi="宋体" w:cs="宋体" w:hint="eastAsia"/>
          <w:color w:val="333333"/>
          <w:kern w:val="0"/>
          <w:sz w:val="24"/>
        </w:rPr>
        <w:t>尊敬的投资者：</w:t>
      </w:r>
    </w:p>
    <w:p>
      <w:pPr>
        <w:widowControl/>
        <w:tabs>
          <w:tab w:val="left" w:pos="2930"/>
        </w:tabs>
        <w:spacing w:before="100" w:beforeAutospacing="1" w:after="100" w:afterAutospacing="1" w:line="360" w:lineRule="auto"/>
        <w:ind w:firstLine="420" w:firstLineChars="200"/>
        <w:jc w:val="left"/>
        <w:rPr>
          <w:rFonts w:ascii="宋体" w:hAnsi="宋体" w:cs="宋体"/>
          <w:color w:val="333333"/>
          <w:kern w:val="0"/>
          <w:sz w:val="24"/>
        </w:rPr>
      </w:pPr>
      <w:r>
        <w:rPr>
          <w:rFonts w:ascii="宋体" w:hAnsi="宋体" w:cs="宋体" w:hint="eastAsia"/>
          <w:color w:val="333333"/>
          <w:kern w:val="0"/>
          <w:sz w:val="24"/>
        </w:rPr>
        <w:t>根据市场情况及产品投资的资产组合收益变动情况，</w:t>
      </w:r>
      <w:r>
        <w:rPr>
          <w:rFonts w:ascii="宋体" w:eastAsia="宋体" w:hAnsi="宋体" w:cs="宋体"/>
          <w:color w:val="333333"/>
          <w:sz w:val="24"/>
        </w:rPr>
        <w:t>半年添益2006期</w:t>
      </w:r>
      <w:r>
        <w:rPr>
          <w:rFonts w:ascii="宋体" w:eastAsia="宋体" w:hAnsi="宋体" w:cs="宋体"/>
          <w:color w:val="333333"/>
          <w:sz w:val="24"/>
        </w:rPr>
        <w:t>（产品编号：</w:t>
      </w:r>
      <w:r>
        <w:rPr>
          <w:rFonts w:ascii="宋体" w:eastAsia="宋体" w:hAnsi="宋体" w:cs="宋体"/>
          <w:color w:val="333333"/>
          <w:sz w:val="24"/>
        </w:rPr>
        <w:t>TYG6M2006</w:t>
      </w:r>
      <w:r>
        <w:rPr>
          <w:rFonts w:ascii="宋体" w:eastAsia="宋体" w:hAnsi="宋体" w:cs="宋体"/>
          <w:color w:val="333333"/>
          <w:sz w:val="24"/>
        </w:rPr>
        <w:t>）下一运行周期（</w:t>
      </w:r>
      <w:r>
        <w:rPr>
          <w:rFonts w:ascii="宋体" w:eastAsia="宋体" w:hAnsi="宋体" w:cs="宋体"/>
          <w:color w:val="333333"/>
          <w:sz w:val="24"/>
        </w:rPr>
        <w:t>2024-3-27</w:t>
      </w:r>
      <w:r>
        <w:rPr>
          <w:rFonts w:ascii="宋体" w:eastAsia="宋体" w:hAnsi="宋体" w:cs="宋体"/>
          <w:color w:val="333333"/>
          <w:sz w:val="24"/>
        </w:rPr>
        <w:t>至</w:t>
      </w:r>
      <w:r>
        <w:rPr>
          <w:rFonts w:ascii="宋体" w:eastAsia="宋体" w:hAnsi="宋体" w:cs="宋体"/>
          <w:color w:val="333333"/>
          <w:sz w:val="24"/>
        </w:rPr>
        <w:t>2024-9-24</w:t>
      </w:r>
      <w:r>
        <w:rPr>
          <w:rFonts w:ascii="宋体" w:eastAsia="宋体" w:hAnsi="宋体" w:cs="宋体"/>
          <w:color w:val="333333"/>
          <w:sz w:val="24"/>
        </w:rPr>
        <w:t>）的业绩比较基准如下：</w:t>
      </w:r>
    </w:p>
    <w:tbl>
      <w:tblPr>
        <w:tblStyle w:val="TableGrid"/>
        <w:tblW w:w="8516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8"/>
        <w:gridCol w:w="4258"/>
      </w:tblGrid>
      <w:tr>
        <w:tblPrEx>
          <w:tblW w:w="8516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8" w:type="dxa"/>
          </w:tcPr>
          <w:p>
            <w:pPr>
              <w:widowControl/>
              <w:tabs>
                <w:tab w:val="left" w:pos="2930"/>
              </w:tabs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销售代码</w:t>
            </w:r>
          </w:p>
        </w:tc>
        <w:tc>
          <w:tcPr>
            <w:tcW w:w="4258" w:type="dxa"/>
          </w:tcPr>
          <w:p>
            <w:pPr>
              <w:widowControl/>
              <w:tabs>
                <w:tab w:val="left" w:pos="2930"/>
              </w:tabs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业绩比较基准</w:t>
            </w:r>
          </w:p>
        </w:tc>
      </w:tr>
      <w:tr>
        <w:tblPrEx>
          <w:tblW w:w="8516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8" w:type="dxa"/>
          </w:tcPr>
          <w:p>
            <w:pPr>
              <w:widowControl/>
              <w:tabs>
                <w:tab w:val="left" w:pos="2930"/>
              </w:tabs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TYG6M2006</w:t>
            </w:r>
          </w:p>
        </w:tc>
        <w:tc>
          <w:tcPr>
            <w:tcW w:w="4258" w:type="dxa"/>
          </w:tcPr>
          <w:p>
            <w:pPr>
              <w:widowControl/>
              <w:tabs>
                <w:tab w:val="left" w:pos="2930"/>
              </w:tabs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2.70%-3.40%</w:t>
            </w:r>
          </w:p>
        </w:tc>
      </w:tr>
    </w:tbl>
    <w:p>
      <w:pPr>
        <w:widowControl/>
        <w:tabs>
          <w:tab w:val="left" w:pos="2930"/>
        </w:tabs>
        <w:spacing w:before="100" w:beforeAutospacing="1" w:after="100" w:afterAutospacing="1" w:line="360" w:lineRule="auto"/>
        <w:ind w:firstLine="420" w:firstLineChars="200"/>
        <w:jc w:val="left"/>
        <w:rPr>
          <w:rFonts w:ascii="宋体" w:hAnsi="宋体" w:cs="宋体"/>
          <w:color w:val="333333"/>
          <w:kern w:val="0"/>
          <w:sz w:val="24"/>
        </w:rPr>
      </w:pPr>
      <w:r>
        <w:rPr>
          <w:rFonts w:ascii="宋体" w:hAnsi="宋体" w:cs="宋体" w:hint="eastAsia"/>
          <w:color w:val="333333"/>
          <w:kern w:val="0"/>
          <w:sz w:val="24"/>
        </w:rPr>
        <w:t>开放期具体安排如下，开放期最后一日及确认日如遇非工作日，则依次顺延至下一个工作日，敬请投资者关注，提前做好投资安排。</w:t>
      </w:r>
    </w:p>
    <w:tbl>
      <w:tblPr>
        <w:tblStyle w:val="TableGrid"/>
        <w:tblW w:w="8580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3141"/>
        <w:gridCol w:w="2016"/>
        <w:gridCol w:w="1897"/>
      </w:tblGrid>
      <w:tr>
        <w:tblPrEx>
          <w:tblW w:w="8580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/>
        </w:trPr>
        <w:tc>
          <w:tcPr>
            <w:tcW w:w="1526" w:type="dxa"/>
          </w:tcPr>
          <w:p>
            <w:pPr>
              <w:widowControl/>
              <w:tabs>
                <w:tab w:val="left" w:pos="2930"/>
              </w:tabs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序号</w:t>
            </w:r>
          </w:p>
        </w:tc>
        <w:tc>
          <w:tcPr>
            <w:tcW w:w="3141" w:type="dxa"/>
          </w:tcPr>
          <w:p>
            <w:pPr>
              <w:widowControl/>
              <w:tabs>
                <w:tab w:val="left" w:pos="2930"/>
              </w:tabs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开放时间安排</w:t>
            </w:r>
          </w:p>
        </w:tc>
        <w:tc>
          <w:tcPr>
            <w:tcW w:w="2016" w:type="dxa"/>
          </w:tcPr>
          <w:p>
            <w:pPr>
              <w:widowControl/>
              <w:tabs>
                <w:tab w:val="left" w:pos="2930"/>
              </w:tabs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确认日</w:t>
            </w:r>
          </w:p>
        </w:tc>
        <w:tc>
          <w:tcPr>
            <w:tcW w:w="1897" w:type="dxa"/>
          </w:tcPr>
          <w:p>
            <w:pPr>
              <w:widowControl/>
              <w:tabs>
                <w:tab w:val="left" w:pos="2930"/>
              </w:tabs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交易类型</w:t>
            </w:r>
          </w:p>
        </w:tc>
      </w:tr>
      <w:tr>
        <w:tblPrEx>
          <w:tblW w:w="8580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/>
        </w:trPr>
        <w:tc>
          <w:tcPr>
            <w:tcW w:w="1526" w:type="dxa"/>
          </w:tcPr>
          <w:p>
            <w:pPr>
              <w:widowControl/>
              <w:tabs>
                <w:tab w:val="left" w:pos="2930"/>
              </w:tabs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本周期</w:t>
            </w:r>
          </w:p>
        </w:tc>
        <w:tc>
          <w:tcPr>
            <w:tcW w:w="3141" w:type="dxa"/>
          </w:tcPr>
          <w:p>
            <w:pPr>
              <w:widowControl/>
              <w:tabs>
                <w:tab w:val="left" w:pos="2930"/>
              </w:tabs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2024-3-20</w:t>
            </w:r>
            <w:r>
              <w:rPr>
                <w:rFonts w:ascii="宋体" w:eastAsia="宋体" w:hAnsi="宋体" w:cs="宋体"/>
                <w:color w:val="333333"/>
                <w:sz w:val="24"/>
              </w:rPr>
              <w:t xml:space="preserve"> 9:00至 </w:t>
            </w:r>
            <w:r>
              <w:rPr>
                <w:rFonts w:ascii="宋体" w:eastAsia="宋体" w:hAnsi="宋体" w:cs="宋体"/>
                <w:color w:val="333333"/>
                <w:sz w:val="24"/>
              </w:rPr>
              <w:t>2024-3-26</w:t>
            </w:r>
            <w:r>
              <w:rPr>
                <w:rFonts w:ascii="宋体" w:eastAsia="宋体" w:hAnsi="宋体" w:cs="宋体"/>
                <w:color w:val="333333"/>
                <w:sz w:val="24"/>
              </w:rPr>
              <w:t xml:space="preserve"> 17:00</w:t>
            </w:r>
          </w:p>
        </w:tc>
        <w:tc>
          <w:tcPr>
            <w:tcW w:w="2016" w:type="dxa"/>
          </w:tcPr>
          <w:p>
            <w:pPr>
              <w:widowControl/>
              <w:tabs>
                <w:tab w:val="left" w:pos="2930"/>
              </w:tabs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2024-3-27</w:t>
            </w:r>
          </w:p>
        </w:tc>
        <w:tc>
          <w:tcPr>
            <w:tcW w:w="1897" w:type="dxa"/>
          </w:tcPr>
          <w:p>
            <w:pPr>
              <w:widowControl/>
              <w:tabs>
                <w:tab w:val="left" w:pos="2930"/>
              </w:tabs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可申购、可赎回</w:t>
            </w:r>
          </w:p>
        </w:tc>
      </w:tr>
      <w:tr>
        <w:tblPrEx>
          <w:tblW w:w="8580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/>
        </w:trPr>
        <w:tc>
          <w:tcPr>
            <w:tcW w:w="1526" w:type="dxa"/>
          </w:tcPr>
          <w:p>
            <w:pPr>
              <w:widowControl/>
              <w:tabs>
                <w:tab w:val="left" w:pos="2930"/>
              </w:tabs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下一周期</w:t>
            </w:r>
          </w:p>
        </w:tc>
        <w:tc>
          <w:tcPr>
            <w:tcW w:w="3141" w:type="dxa"/>
          </w:tcPr>
          <w:p>
            <w:pPr>
              <w:widowControl/>
              <w:tabs>
                <w:tab w:val="left" w:pos="2930"/>
              </w:tabs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2024-9-19</w:t>
            </w:r>
            <w:r>
              <w:rPr>
                <w:rFonts w:ascii="宋体" w:eastAsia="宋体" w:hAnsi="宋体" w:cs="宋体"/>
                <w:color w:val="333333"/>
                <w:sz w:val="24"/>
              </w:rPr>
              <w:t xml:space="preserve"> 9:00至</w:t>
            </w:r>
            <w:r>
              <w:rPr>
                <w:rFonts w:ascii="宋体" w:eastAsia="宋体" w:hAnsi="宋体" w:cs="宋体"/>
                <w:color w:val="333333"/>
                <w:sz w:val="24"/>
              </w:rPr>
              <w:t>2024-9-24</w:t>
            </w:r>
            <w:r>
              <w:rPr>
                <w:rFonts w:ascii="宋体" w:eastAsia="宋体" w:hAnsi="宋体" w:cs="宋体"/>
                <w:color w:val="333333"/>
                <w:sz w:val="24"/>
              </w:rPr>
              <w:t xml:space="preserve"> 17:00</w:t>
            </w:r>
          </w:p>
        </w:tc>
        <w:tc>
          <w:tcPr>
            <w:tcW w:w="2016" w:type="dxa"/>
          </w:tcPr>
          <w:p>
            <w:pPr>
              <w:widowControl/>
              <w:tabs>
                <w:tab w:val="left" w:pos="2930"/>
              </w:tabs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2024-9-25</w:t>
            </w:r>
          </w:p>
        </w:tc>
        <w:tc>
          <w:tcPr>
            <w:tcW w:w="1897" w:type="dxa"/>
          </w:tcPr>
          <w:p>
            <w:pPr>
              <w:widowControl/>
              <w:tabs>
                <w:tab w:val="left" w:pos="2930"/>
              </w:tabs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可申购、可赎回</w:t>
            </w:r>
          </w:p>
        </w:tc>
      </w:tr>
    </w:tbl>
    <w:p>
      <w:pPr>
        <w:widowControl/>
        <w:spacing w:line="360" w:lineRule="auto"/>
        <w:jc w:val="left"/>
        <w:rPr>
          <w:rFonts w:ascii="宋体" w:hAnsi="宋体" w:cs="宋体"/>
          <w:kern w:val="0"/>
          <w:sz w:val="24"/>
        </w:rPr>
      </w:pPr>
    </w:p>
    <w:p>
      <w:pPr>
        <w:widowControl/>
        <w:spacing w:line="360" w:lineRule="auto"/>
        <w:jc w:val="left"/>
        <w:rPr>
          <w:rFonts w:ascii="宋体" w:hAnsi="宋体" w:cs="宋体" w:hint="eastAsia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注：</w:t>
      </w:r>
    </w:p>
    <w:p>
      <w:pPr>
        <w:widowControl/>
        <w:numPr>
          <w:ilvl w:val="0"/>
          <w:numId w:val="1"/>
        </w:numPr>
        <w:spacing w:line="360" w:lineRule="auto"/>
        <w:jc w:val="left"/>
        <w:rPr>
          <w:rFonts w:ascii="宋体" w:hAnsi="宋体" w:cs="宋体" w:hint="eastAsia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本理财计划业绩比较基准由管理人根据投资范围及投资策略，结合市场环境因素进行测算而得出。业绩比较基准是管理人基于理财计划收益风险特征、投资策略、过往经验等因素对理财计划业绩设定的投资目标，不代表理财计划的未来表现和实际收益，也不构成对理财计划收益的承诺。</w:t>
      </w:r>
    </w:p>
    <w:p>
      <w:pPr>
        <w:widowControl/>
        <w:numPr>
          <w:ilvl w:val="0"/>
          <w:numId w:val="1"/>
        </w:numPr>
        <w:spacing w:line="360" w:lineRule="auto"/>
        <w:jc w:val="left"/>
        <w:rPr>
          <w:rFonts w:ascii="宋体" w:hAnsi="宋体" w:eastAsiaTheme="minorEastAsia" w:cs="宋体" w:hint="default"/>
          <w:kern w:val="0"/>
          <w:szCs w:val="21"/>
          <w:lang w:val="en-US" w:eastAsia="zh-CN"/>
        </w:rPr>
      </w:pPr>
      <w:r>
        <w:rPr>
          <w:rFonts w:ascii="宋体" w:hAnsi="宋体" w:cs="宋体" w:hint="eastAsia"/>
          <w:kern w:val="0"/>
          <w:szCs w:val="21"/>
          <w:lang w:val="en-US" w:eastAsia="zh-CN"/>
        </w:rPr>
        <w:t>如法定节假日调整，管理人将对公告中的日期做出相应调整，以管理人最新公告为准。</w:t>
      </w:r>
    </w:p>
    <w:p>
      <w:pPr>
        <w:widowControl/>
        <w:numPr>
          <w:ilvl w:val="0"/>
          <w:numId w:val="1"/>
        </w:numPr>
        <w:spacing w:line="360" w:lineRule="auto"/>
        <w:jc w:val="left"/>
        <w:rPr>
          <w:rFonts w:ascii="宋体" w:hAnsi="宋体" w:cs="宋体" w:hint="eastAsia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  <w:lang w:val="en-US" w:eastAsia="zh-CN"/>
        </w:rPr>
        <w:t>开放时间具体安排以销售机构规定为准。</w:t>
      </w:r>
      <w:bookmarkStart w:id="0" w:name="_GoBack"/>
      <w:bookmarkEnd w:id="0"/>
    </w:p>
    <w:p>
      <w:pPr>
        <w:widowControl/>
        <w:jc w:val="right"/>
        <w:rPr>
          <w:rFonts w:ascii="微软雅黑" w:hAnsi="微软雅黑" w:cs="宋体"/>
          <w:color w:val="333333"/>
          <w:kern w:val="0"/>
          <w:sz w:val="24"/>
        </w:rPr>
      </w:pPr>
      <w:r>
        <w:rPr>
          <w:rFonts w:ascii="微软雅黑" w:hAnsi="微软雅黑" w:cs="宋体" w:hint="eastAsia"/>
          <w:color w:val="333333"/>
          <w:kern w:val="0"/>
          <w:sz w:val="24"/>
        </w:rPr>
        <w:t>                         杭银理财有限责任公司</w:t>
      </w:r>
    </w:p>
    <w:p>
      <w:pPr>
        <w:widowControl/>
        <w:jc w:val="right"/>
      </w:pPr>
      <w:r>
        <w:rPr>
          <w:rFonts w:ascii="宋体" w:hAnsi="宋体" w:cs="宋体" w:hint="eastAsia"/>
          <w:color w:val="333333"/>
          <w:kern w:val="0"/>
          <w:sz w:val="24"/>
        </w:rPr>
        <w:t>                         </w:t>
      </w:r>
      <w:r>
        <w:rPr>
          <w:rFonts w:ascii="宋体" w:eastAsia="宋体" w:hAnsi="宋体" w:cs="宋体"/>
          <w:color w:val="333333"/>
          <w:sz w:val="24"/>
        </w:rPr>
        <w:t>2024年3月11日</w:t>
      </w:r>
    </w:p>
    <w:sectPr>
      <w:headerReference w:type="default" r:id="rId5"/>
      <w:pgSz w:w="11906" w:h="16838"/>
      <w:pgMar w:top="2551" w:right="1803" w:bottom="2551" w:left="1803" w:header="851" w:footer="992" w:gutter="0"/>
      <w:cols w:num="1" w:space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</w:pPr>
    <w: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43800" cy="10671810"/>
          <wp:effectExtent l="0" t="0" r="0" b="15240"/>
          <wp:wrapNone/>
          <wp:docPr id="5" name="WordPictureWatermark140627" descr="微信图片_202208171443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ordPictureWatermark140627" descr="微信图片_20220817144322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7543800" cy="10671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C1AA571"/>
    <w:multiLevelType w:val="singleLevel"/>
    <w:tmpl w:val="7C1AA571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zoom w:percent="100"/>
  <w:embedSystemFonts/>
  <w:bordersDoNotSurroundHeader/>
  <w:bordersDoNotSurroundFooter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ZlY2ZiYmExOWJmOTY5NWFmNzQwOWFhNmE0ZjgxMTM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qFormat="1"/>
    <w:lsdException w:name="heading 3" w:semiHidden="0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 w:qFormat="1"/>
    <w:lsdException w:name="footer" w:semiHidden="0" w:uiPriority="0" w:unhideWhenUsed="0" w:qFormat="1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uiPriority="1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/>
    <w:lsdException w:name="annotation subject" w:semiHidden="0" w:uiPriority="0" w:unhideWhenUsed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semiHidden="0" w:uiPriority="0" w:unhideWhenUsed="0"/>
    <w:lsdException w:name="Table Grid" w:semiHidden="0" w:uiPriority="0" w:unhideWhenUsed="0" w:qFormat="1"/>
    <w:lsdException w:name="Table Theme" w:uiPriority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val="en-US" w:eastAsia="zh-CN" w:bidi="ar-SA"/>
    </w:rPr>
  </w:style>
  <w:style w:type="paragraph" w:styleId="Heading1">
    <w:name w:val="heading 1"/>
    <w:basedOn w:val="Normal"/>
    <w:next w:val="Normal"/>
    <w:qFormat/>
    <w:pPr>
      <w:keepNext/>
      <w:keepLines/>
      <w:spacing w:line="400" w:lineRule="exact"/>
      <w:jc w:val="center"/>
      <w:outlineLvl w:val="0"/>
    </w:pPr>
    <w:rPr>
      <w:rFonts w:ascii="Times New Roman" w:eastAsia="宋体" w:hAnsi="Times New Roman"/>
      <w:b/>
      <w:kern w:val="44"/>
      <w:sz w:val="24"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line="400" w:lineRule="exact"/>
      <w:jc w:val="left"/>
      <w:outlineLvl w:val="1"/>
    </w:pPr>
    <w:rPr>
      <w:rFonts w:ascii="Arial" w:eastAsia="宋体" w:hAnsi="Arial"/>
      <w:b/>
    </w:rPr>
  </w:style>
  <w:style w:type="paragraph" w:styleId="Heading3">
    <w:name w:val="heading 3"/>
    <w:basedOn w:val="Normal"/>
    <w:next w:val="Normal"/>
    <w:unhideWhenUsed/>
    <w:qFormat/>
    <w:pPr>
      <w:keepNext/>
      <w:keepLines/>
      <w:spacing w:line="400" w:lineRule="exact"/>
      <w:jc w:val="left"/>
      <w:outlineLvl w:val="2"/>
    </w:pPr>
    <w:rPr>
      <w:rFonts w:ascii="Times New Roman" w:eastAsia="宋体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Header">
    <w:name w:val="header"/>
    <w:basedOn w:val="Normal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TableGrid">
    <w:name w:val="Table Grid"/>
    <w:basedOn w:val="TableNormal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未定义</cp:lastModifiedBy>
  <cp:revision>10</cp:revision>
  <dcterms:created xsi:type="dcterms:W3CDTF">2022-08-17T14:47:00Z</dcterms:created>
  <dcterms:modified xsi:type="dcterms:W3CDTF">2023-12-21T02:03:36Z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156FBEF45315492997A928A82EDAEB25</vt:lpwstr>
  </property>
  <property fmtid="{D5CDD505-2E9C-101B-9397-08002B2CF9AE}" pid="3" name="KSOProductBuildVer">
    <vt:lpwstr>2052-11.8.2.8411</vt:lpwstr>
  </property>
</Properties>
</file>