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="302" w:beforeAutospacing="0" w:afterAutospacing="0" w:line="390" w:lineRule="atLeast"/>
        <w:rPr>
          <w:color w:val="5C5B59"/>
          <w:sz w:val="18"/>
          <w:szCs w:val="18"/>
        </w:rPr>
      </w:pPr>
      <w:r>
        <w:rPr>
          <w:rStyle w:val="4"/>
          <w:rFonts w:hint="eastAsia"/>
          <w:color w:val="5C5B59"/>
          <w:sz w:val="33"/>
          <w:szCs w:val="33"/>
          <w:shd w:val="clear" w:color="auto" w:fill="EAEAEA"/>
          <w:lang w:eastAsia="zh-CN"/>
        </w:rPr>
        <w:t>天弘</w:t>
      </w:r>
      <w:r>
        <w:rPr>
          <w:rStyle w:val="4"/>
          <w:rFonts w:hint="eastAsia"/>
          <w:color w:val="5C5B59"/>
          <w:sz w:val="33"/>
          <w:szCs w:val="33"/>
          <w:shd w:val="clear" w:color="auto" w:fill="EAEAEA"/>
        </w:rPr>
        <w:t>基金产品目录</w:t>
      </w:r>
    </w:p>
    <w:tbl>
      <w:tblPr>
        <w:tblStyle w:val="7"/>
        <w:tblW w:w="9630" w:type="dxa"/>
        <w:tblCellSpacing w:w="15" w:type="dxa"/>
        <w:tblInd w:w="-37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1046"/>
        <w:gridCol w:w="3994"/>
        <w:gridCol w:w="1260"/>
        <w:gridCol w:w="10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基金公司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产品代码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产品名称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代销产品属性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适合投资者范围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420006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  <w:r>
              <w:rPr>
                <w:rFonts w:hint="eastAsia"/>
                <w:color w:val="auto"/>
                <w:sz w:val="18"/>
                <w:szCs w:val="18"/>
              </w:rPr>
              <w:t>天弘现金管家货币市场基金</w:t>
            </w:r>
            <w:r>
              <w:rPr>
                <w:color w:val="auto"/>
                <w:sz w:val="18"/>
                <w:szCs w:val="18"/>
              </w:rPr>
              <w:t>A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货币型基金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低风险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420009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  <w:r>
              <w:rPr>
                <w:rFonts w:hint="eastAsia"/>
                <w:color w:val="auto"/>
                <w:sz w:val="18"/>
                <w:szCs w:val="18"/>
              </w:rPr>
              <w:t>天弘安康养老混合型证券投资基金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混合型基金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420106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  <w:r>
              <w:rPr>
                <w:rFonts w:hint="eastAsia"/>
                <w:color w:val="auto"/>
                <w:sz w:val="18"/>
                <w:szCs w:val="18"/>
              </w:rPr>
              <w:t>天弘现金管家货币市场基金</w:t>
            </w:r>
            <w:r>
              <w:rPr>
                <w:color w:val="auto"/>
                <w:sz w:val="18"/>
                <w:szCs w:val="18"/>
              </w:rPr>
              <w:t>B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货币型基金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低风险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000606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天弘优选债券型证券投资基金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债券型基金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中低风险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420008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天弘债券型发起式证券投资基金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A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债券型基金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中低风险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天弘基金管理有限公司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420108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天弘债券型发起式证券投资基金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B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债券型基金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中低风险</w:t>
            </w:r>
          </w:p>
        </w:tc>
      </w:tr>
    </w:tbl>
    <w:p>
      <w:pPr>
        <w:pStyle w:val="2"/>
        <w:widowControl/>
        <w:spacing w:before="302" w:beforeAutospacing="0" w:afterAutospacing="0" w:line="390" w:lineRule="atLeast"/>
        <w:rPr>
          <w:color w:val="5C5B59"/>
          <w:sz w:val="18"/>
          <w:szCs w:val="18"/>
          <w:highlight w:val="yellow"/>
        </w:rPr>
      </w:pPr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02FF41F8"/>
    <w:rsid w:val="0BC76BDF"/>
    <w:rsid w:val="2D251C9B"/>
    <w:rsid w:val="3AB306D5"/>
    <w:rsid w:val="3BB45B76"/>
    <w:rsid w:val="4C9C7DE8"/>
    <w:rsid w:val="4E634927"/>
    <w:rsid w:val="4F4D2F48"/>
    <w:rsid w:val="6D144001"/>
    <w:rsid w:val="6FBB675C"/>
    <w:rsid w:val="774305A0"/>
    <w:rsid w:val="7EF457C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徐如意</cp:lastModifiedBy>
  <dcterms:modified xsi:type="dcterms:W3CDTF">2019-10-31T09:36:51Z</dcterms:modified>
  <dc:title>天弘基金产品目录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