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color w:val="000000"/>
          <w:highlight w:val="none"/>
        </w:rPr>
      </w:pPr>
      <w:bookmarkStart w:id="0" w:name="_GoBack"/>
      <w:bookmarkEnd w:id="0"/>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幸福99丰裕固收386天26142期理财</w:t>
      </w:r>
      <w:r>
        <w:rPr>
          <w:rFonts w:hint="eastAsia" w:ascii="宋体" w:hAnsi="宋体" w:cs="宋体"/>
          <w:b/>
          <w:bCs/>
          <w:color w:val="000000"/>
          <w:sz w:val="44"/>
          <w:szCs w:val="44"/>
          <w:highlight w:val="none"/>
        </w:rPr>
        <w:t>合同</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理财计划管理人：杭银理财有限责任公司</w:t>
      </w:r>
    </w:p>
    <w:p>
      <w:pPr>
        <w:ind w:firstLine="1280" w:firstLineChars="400"/>
        <w:jc w:val="left"/>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理财计划托管人：</w:t>
      </w:r>
      <w:r>
        <w:rPr>
          <w:rFonts w:hint="eastAsia" w:ascii="宋体" w:hAnsi="宋体" w:eastAsia="宋体" w:cs="宋体"/>
          <w:color w:val="000000"/>
          <w:kern w:val="2"/>
          <w:sz w:val="32"/>
          <w:szCs w:val="32"/>
          <w:highlight w:val="none"/>
          <w:lang w:val="en-US" w:eastAsia="zh-CN" w:bidi="ar-SA"/>
        </w:rPr>
        <w:t>杭州银行股份有限公司</w:t>
      </w:r>
    </w:p>
    <w:p>
      <w:pPr>
        <w:ind w:firstLine="1280" w:firstLineChars="400"/>
        <w:jc w:val="left"/>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outlineLvl w:val="9"/>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幸福99丰裕固收386天26142期理财</w:t>
      </w:r>
      <w:r>
        <w:rPr>
          <w:rFonts w:hint="eastAsia" w:ascii="宋体" w:hAnsi="宋体" w:cs="宋体"/>
          <w:b/>
          <w:bCs/>
          <w:color w:val="000000"/>
          <w:sz w:val="44"/>
          <w:szCs w:val="44"/>
          <w:highlight w:val="none"/>
        </w:rPr>
        <w:t>合同文件</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tbl>
      <w:tblPr>
        <w:tblStyle w:val="8"/>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040"/>
        <w:gridCol w:w="2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序号</w:t>
            </w:r>
          </w:p>
        </w:tc>
        <w:tc>
          <w:tcPr>
            <w:tcW w:w="504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理财计划合同文件中的文件名称</w:t>
            </w:r>
          </w:p>
        </w:tc>
        <w:tc>
          <w:tcPr>
            <w:tcW w:w="238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leftChars="0" w:right="0" w:firstLine="0" w:firstLineChars="0"/>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eastAsia="zh-CN"/>
              </w:rPr>
              <w:t>1</w:t>
            </w:r>
          </w:p>
        </w:tc>
        <w:tc>
          <w:tcPr>
            <w:tcW w:w="5040" w:type="dxa"/>
            <w:noWrap w:val="0"/>
            <w:vAlign w:val="center"/>
          </w:tcPr>
          <w:p>
            <w:pPr>
              <w:keepNext w:val="0"/>
              <w:keepLines w:val="0"/>
              <w:widowControl w:val="0"/>
              <w:suppressLineNumbers w:val="0"/>
              <w:spacing w:before="0" w:beforeAutospacing="0" w:after="0" w:afterAutospacing="0" w:line="360" w:lineRule="auto"/>
              <w:ind w:left="0" w:leftChars="0" w:right="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幸福99丰裕固收386天26142期理财</w:t>
            </w:r>
            <w:r>
              <w:rPr>
                <w:rFonts w:hint="eastAsia" w:ascii="宋体" w:hAnsi="宋体" w:cs="宋体"/>
                <w:color w:val="000000"/>
                <w:kern w:val="2"/>
                <w:sz w:val="21"/>
                <w:szCs w:val="21"/>
                <w:highlight w:val="none"/>
                <w:lang w:val="en-US" w:eastAsia="zh-CN" w:bidi="ar-SA"/>
              </w:rPr>
              <w:t>产品说明书关键要素</w:t>
            </w:r>
          </w:p>
        </w:tc>
        <w:tc>
          <w:tcPr>
            <w:tcW w:w="2386" w:type="dxa"/>
            <w:noWrap w:val="0"/>
            <w:vAlign w:val="center"/>
          </w:tcPr>
          <w:p>
            <w:pPr>
              <w:keepNext w:val="0"/>
              <w:keepLines w:val="0"/>
              <w:widowControl w:val="0"/>
              <w:suppressLineNumbers w:val="0"/>
              <w:spacing w:before="0" w:beforeAutospacing="0" w:after="0" w:afterAutospacing="0" w:line="360" w:lineRule="auto"/>
              <w:ind w:left="0" w:leftChars="0" w:right="0" w:firstLine="0" w:firstLineChars="0"/>
              <w:jc w:val="center"/>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
              </w:rPr>
              <w:t>理财计划产品关键要素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eastAsia="zh-CN"/>
              </w:rPr>
              <w:t>2</w:t>
            </w:r>
          </w:p>
        </w:tc>
        <w:tc>
          <w:tcPr>
            <w:tcW w:w="504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幸福99丰裕固收386天26142期理财</w:t>
            </w:r>
            <w:r>
              <w:rPr>
                <w:rFonts w:hint="eastAsia" w:ascii="宋体" w:hAnsi="宋体" w:cs="宋体"/>
                <w:color w:val="000000"/>
                <w:szCs w:val="21"/>
                <w:highlight w:val="none"/>
              </w:rPr>
              <w:t>风险揭示书</w:t>
            </w:r>
          </w:p>
        </w:tc>
        <w:tc>
          <w:tcPr>
            <w:tcW w:w="238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eastAsia="zh-CN"/>
              </w:rPr>
              <w:t>3</w:t>
            </w:r>
          </w:p>
        </w:tc>
        <w:tc>
          <w:tcPr>
            <w:tcW w:w="504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幸福99丰裕固收386天26142期理财</w:t>
            </w:r>
            <w:r>
              <w:rPr>
                <w:rFonts w:hint="eastAsia" w:ascii="宋体" w:hAnsi="宋体" w:cs="宋体"/>
                <w:color w:val="000000"/>
                <w:szCs w:val="21"/>
                <w:highlight w:val="none"/>
              </w:rPr>
              <w:t>产品说明书</w:t>
            </w:r>
          </w:p>
        </w:tc>
        <w:tc>
          <w:tcPr>
            <w:tcW w:w="238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eastAsia="zh-CN"/>
              </w:rPr>
              <w:t>4</w:t>
            </w:r>
          </w:p>
        </w:tc>
        <w:tc>
          <w:tcPr>
            <w:tcW w:w="504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杭银理财投资者权益须知</w:t>
            </w:r>
          </w:p>
        </w:tc>
        <w:tc>
          <w:tcPr>
            <w:tcW w:w="238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eastAsia="zh-CN"/>
              </w:rPr>
              <w:t>5</w:t>
            </w:r>
          </w:p>
        </w:tc>
        <w:tc>
          <w:tcPr>
            <w:tcW w:w="504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杭银理财理财计划投资协议书</w:t>
            </w:r>
          </w:p>
        </w:tc>
        <w:tc>
          <w:tcPr>
            <w:tcW w:w="238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eastAsia="zh-CN"/>
              </w:rPr>
              <w:t>6</w:t>
            </w:r>
          </w:p>
        </w:tc>
        <w:tc>
          <w:tcPr>
            <w:tcW w:w="504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杭银理财理财计划销售协议书</w:t>
            </w:r>
          </w:p>
        </w:tc>
        <w:tc>
          <w:tcPr>
            <w:tcW w:w="238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tbl>
      <w:tblPr>
        <w:tblStyle w:val="8"/>
        <w:tblW w:w="871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78"/>
        <w:gridCol w:w="703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44"/>
              </w:rPr>
              <w:t>理财产品说明书关键要素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sz w:val="21"/>
              </w:rPr>
              <w:t>本表格提供本理财产品的重要信息，是理财产品说明书的一部分。作出投资决定前，请阅读完整的理财产品说明书等销售文件。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（一）理财产品基本信息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产品登记编码</w:t>
            </w:r>
          </w:p>
        </w:tc>
        <w:tc>
          <w:tcPr>
            <w:tcW w:w="7036" w:type="dxa"/>
            <w:vAlign w:val="center"/>
          </w:tcPr>
          <w:p>
            <w:pPr>
              <w:jc w:val="center"/>
            </w:pPr>
            <w:r>
              <w:rPr>
                <w:rFonts w:ascii="宋体" w:hAnsi="宋体" w:eastAsia="宋体"/>
                <w:sz w:val="21"/>
              </w:rPr>
              <w:t>Z7002226000310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理财产品名称</w:t>
            </w:r>
          </w:p>
        </w:tc>
        <w:tc>
          <w:tcPr>
            <w:tcW w:w="7036" w:type="dxa"/>
            <w:vAlign w:val="center"/>
          </w:tcPr>
          <w:p>
            <w:pPr>
              <w:jc w:val="center"/>
            </w:pPr>
            <w:r>
              <w:rPr>
                <w:rFonts w:ascii="宋体" w:hAnsi="宋体" w:eastAsia="宋体"/>
                <w:sz w:val="21"/>
              </w:rPr>
              <w:t>幸福99丰裕固收386天26142期理财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份额代码</w:t>
            </w:r>
          </w:p>
        </w:tc>
        <w:tc>
          <w:tcPr>
            <w:tcW w:w="7036" w:type="dxa"/>
            <w:vAlign w:val="center"/>
          </w:tcPr>
          <w:p>
            <w:pPr>
              <w:jc w:val="left"/>
            </w:pPr>
            <w:r>
              <w:rPr>
                <w:rFonts w:ascii="宋体" w:hAnsi="宋体" w:eastAsia="宋体"/>
                <w:sz w:val="21"/>
              </w:rPr>
              <w:t>A份额：份额代码FYG26142A；B份额：份额代码FYG26142B；C份额：份额代码FYG26142C；D份额：份额代码FYG26142D；E份额（公司专属）：份额代码FYG26142E；F份额惠享款：份额代码FYG26142F；G份额：份额代码FYG26142G；H份额：份额代码FYG26142H；I份额（爽盈优选）：份额代码FYG26142I；J份额：份额代码FYG26142J；M份额（天府·优选）：份额代码FYG26142M；N份额惠享款（长长财富·鑫享）：份额代码FYG26142N；O份额惠享款：份额代码FYG26142O；P份额（芙蓉锦程·优选）：份额代码FYG26142P；Q份额：份额代码FYG26142Q；R份额惠享款吉行十二号：份额代码FYG26142R；T份额惠享款（齐鲁-逢六有约）：份额代码FYG26142T；W份额惠享款：份额代码FYG26142W；X份额：份额代码FYG26142X；Y份额惠享款：份额代码FYG26142Y；Z份额惠享款：份额代码FYG26142Z；ZA份额惠享款：份额代码FYG26142ZA；ZC份额惠享款（长长财富·臻享）：份额代码FYG26142ZC；ZD份额惠享款（湖北银行专属）：份额代码FYG26142ZD；ZE份额惠享款：份额代码FYG26142ZE；ZF份额惠享款：份额代码FYG26142ZF；ZG份额惠享款：份额代码FYG26142ZG；ZJ份额惠享款（代发专属）：份额代码FYG26142ZJ；ZL份额惠享款：份额代码FYG26142ZL</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发行机构名称</w:t>
            </w:r>
          </w:p>
        </w:tc>
        <w:tc>
          <w:tcPr>
            <w:tcW w:w="7036" w:type="dxa"/>
            <w:vAlign w:val="center"/>
          </w:tcPr>
          <w:p>
            <w:pPr>
              <w:jc w:val="center"/>
            </w:pPr>
            <w:r>
              <w:rPr>
                <w:rFonts w:ascii="宋体" w:hAnsi="宋体" w:eastAsia="宋体"/>
                <w:sz w:val="21"/>
              </w:rPr>
              <w:t>杭银理财有限责任公司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销售机构名称</w:t>
            </w:r>
          </w:p>
        </w:tc>
        <w:tc>
          <w:tcPr>
            <w:tcW w:w="7036" w:type="dxa"/>
            <w:vAlign w:val="center"/>
          </w:tcPr>
          <w:p>
            <w:pPr>
              <w:jc w:val="left"/>
            </w:pPr>
            <w:r>
              <w:rPr>
                <w:rFonts w:ascii="宋体" w:hAnsi="宋体" w:eastAsia="宋体"/>
                <w:sz w:val="21"/>
              </w:rPr>
              <w:t>杭银理财有限责任公司，东山县农村信用合作联社，东莞农村商业银行股份有限公司，中山农村商业银行股份有限公司，乌鲁木齐银行股份有限公司，九江银行股份有限公司，云南红塔银行股份有限公司，华安县农村信用合作联社，南京银行股份有限公司，南平市建阳区农村信用合作联社，南靖县农村信用合作联社，厦门农村商业银行股份有限公司，厦门国际银行股份有限公司，厦门银行股份有限公司，古田县农村信用合作联社，台州银行股份有限公司，吉林银行股份有限公司，大田县农村信用合作联社，大连农村商业银行股份有限公司，天津农村商业银行股份有限公司，天津滨海农村商业银行股份有限公司，威海银行股份有限公司，宁化县农村信用合作联社，宁波鄞州农村商业银行股份有限公司，寿宁县农村信用合作联社，将乐县农村信用合作联社，尤溪县农村信用合作联社，屏南县农村信用合作联社，山西银行股份有限公司，广发银行股份有限公司，广州农村商业银行股份有限公司，德化县农村信用合作联社，惠安县农村信用合作联社，成都农村商业银行股份有限公司，政和县农村信用合作联社，新疆银行股份有限公司，无锡农村商业银行股份有限公司，昆仑银行股份有限公司，明溪县农村信用合作联社，晋商银行股份有限公司，曲靖市商业银行股份有限公司，松溪县农村信用合作联社，柘荣县农村信用合作联社股份有限公司，武平县农村信用合作联社，永春县农村信用合作联社，永泰县农村信用合作联社，江苏丹阳农村商业银行股份有限公司，江苏仪征农村商业银行股份有限公司，江苏启东农村商业银行股份有限公司，江苏如东农村商业银行股份有限公司，江苏如皋农村商业银行股份有限公司，江苏宝应农村商业银行股份有限公司，江苏扬中农村商业银行股份有限公司，江苏扬州农村商业银行股份有限公司，江苏昆山农村商业银行股份有限公司，江苏民丰农村商业银行股份有限公司，江苏江南农村商业银行股份有限公司，江苏沛县农村商业银行股份有限公司，江苏泗阳农村商业银行股份有限公司，江苏滨海农村商业银行股份有限公司，江苏苏州农村商业银行股份有限公司，江苏银行股份有限公司，江苏镇江农村商业银行股份有限公司，江苏高邮农村商业银行股份有限公司，泉州农村商业银行股份有限公司，泉州银行股份有限公司，泰宁县农村信用合作联社，浙商银行股份有限公司，浦城县农村信用合作联社，温州银行股份有限公司，湖北银行股份有限公司，湖南银行股份有限公司，漳州市长泰区农村信用合作联社，潍坊银行股份有限公司，珠海农村商业银行股份有限公司，珠海华润银行股份有限公司，福安市农村信用合作联社，福建三明农村商业银行股份有限公司，福建上杭农村商业银行股份有限公司，福建仙游农村商业银行股份有限公司，福建南安农村商业银行股份有限公司，福建宁德农村商业银行股份有限公司，福建安溪农村商业银行股份有限公司，福建平和农村商业银行股份有限公司，福建平潭农村商业银行股份有限公司，福建建瓯农村商业银行股份有限公司，福建晋江农村商业银行股份有限公司，福建武夷山农村商业银行股份有限公司，福建永安农村商业银行股份有限公司，福建沙县农村商业银行股份有限公司，福建海峡银行股份有限公司，福建漳州农村商业银行股份有限公司，福建漳平农村商业银行股份有限公司，福建漳浦农村商业银行股份有限公司，福建石狮农村商业银行股份有限公司，福建福州农村商业银行股份有限公司，福建福清汇通农村商业银行股份有限公司，福建莆田农村商业银行股份有限公司，福建连江农村商业银行股份有限公司，福建邵武农村商业银行股份有限公司，福建长乐农村商业银行股份有限公司，福建龙岩农村商业银行股份有限公司，福建龙海农村商业银行股份有限公司，福鼎市农村信用合作联社，罗源县农村信用合作联社，苏州银行股份有限公司，蒙商银行股份有限公司，贵阳银行股份有限公司，辽宁农村商业银行股份有限公司，连云港东方农村商业银行股份有限公司，连城县农村信用合作联社，郑州银行股份有限公司，重庆银行股份有限公司，长安银行股份有限公司，长汀县农村信用合作联社，长沙银行股份有限公司，闽侯县农村信用合作联社，闽清县农村信用合作联社，霞浦县农村信用合作联社，顺昌县农村信用合作联社，齐商银行股份有限公司，齐鲁银行股份有限公司，龙岩市永定区农村信用合作联社</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境内托管机构名称</w:t>
            </w:r>
          </w:p>
        </w:tc>
        <w:tc>
          <w:tcPr>
            <w:tcW w:w="7036" w:type="dxa"/>
            <w:vAlign w:val="center"/>
          </w:tcPr>
          <w:p>
            <w:pPr>
              <w:jc w:val="center"/>
            </w:pPr>
            <w:r>
              <w:rPr>
                <w:rFonts w:ascii="宋体" w:hAnsi="宋体" w:eastAsia="宋体"/>
                <w:sz w:val="21"/>
              </w:rPr>
              <w:t>杭州银行股份有限公司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销售对象</w:t>
            </w:r>
          </w:p>
        </w:tc>
        <w:tc>
          <w:tcPr>
            <w:tcW w:w="7036" w:type="dxa"/>
            <w:vAlign w:val="center"/>
          </w:tcPr>
          <w:p>
            <w:pPr>
              <w:jc w:val="left"/>
            </w:pPr>
            <w:r>
              <w:rPr>
                <w:rFonts w:ascii="宋体" w:hAnsi="宋体" w:eastAsia="宋体"/>
                <w:sz w:val="21"/>
              </w:rPr>
              <w:t>本理财计划适合〖稳健型、平衡型、进取型、激进型〗的〖个人、机构投资者〗。投资者风险承受能力评级水平以销售机构评估为准。</w:t>
            </w:r>
          </w:p>
          <w:p>
            <w:r>
              <w:rPr>
                <w:rFonts w:ascii="宋体" w:hAnsi="宋体" w:eastAsia="宋体"/>
                <w:sz w:val="21"/>
              </w:rPr>
              <w:t>其中：</w:t>
            </w:r>
          </w:p>
          <w:p>
            <w:r>
              <w:rPr>
                <w:rFonts w:ascii="宋体" w:hAnsi="宋体" w:eastAsia="宋体"/>
                <w:sz w:val="21"/>
              </w:rPr>
              <w:t>A份额（销售代码〖FYG26142A〗）：普通个人投资者和机构客户。</w:t>
            </w:r>
          </w:p>
          <w:p>
            <w:r>
              <w:rPr>
                <w:rFonts w:ascii="宋体" w:hAnsi="宋体" w:eastAsia="宋体"/>
                <w:sz w:val="21"/>
              </w:rPr>
              <w:t>B份额（销售代码〖FYG26142B〗）：普通个人投资者和机构客户。</w:t>
            </w:r>
          </w:p>
          <w:p>
            <w:r>
              <w:rPr>
                <w:rFonts w:ascii="宋体" w:hAnsi="宋体" w:eastAsia="宋体"/>
                <w:sz w:val="21"/>
              </w:rPr>
              <w:t>C份额（销售代码〖FYG26142C〗）：普通个人投资者和机构客户。</w:t>
            </w:r>
          </w:p>
          <w:p>
            <w:r>
              <w:rPr>
                <w:rFonts w:ascii="宋体" w:hAnsi="宋体" w:eastAsia="宋体"/>
                <w:sz w:val="21"/>
              </w:rPr>
              <w:t>D份额（销售代码〖FYG26142D〗）：普通个人投资者和机构客户。</w:t>
            </w:r>
          </w:p>
          <w:p>
            <w:r>
              <w:rPr>
                <w:rFonts w:ascii="宋体" w:hAnsi="宋体" w:eastAsia="宋体"/>
                <w:sz w:val="21"/>
              </w:rPr>
              <w:t>E份额（公司专属）（销售代码〖FYG26142E〗）：普通个人投资者和机构客户。</w:t>
            </w:r>
          </w:p>
          <w:p>
            <w:r>
              <w:rPr>
                <w:rFonts w:ascii="宋体" w:hAnsi="宋体" w:eastAsia="宋体"/>
                <w:sz w:val="21"/>
              </w:rPr>
              <w:t>F份额惠享款（销售代码〖FYG26142F〗）：普通个人投资者和机构客户。</w:t>
            </w:r>
          </w:p>
          <w:p>
            <w:r>
              <w:rPr>
                <w:rFonts w:ascii="宋体" w:hAnsi="宋体" w:eastAsia="宋体"/>
                <w:sz w:val="21"/>
              </w:rPr>
              <w:t>G份额（销售代码〖FYG26142G〗）：普通个人投资者和机构客户。</w:t>
            </w:r>
          </w:p>
          <w:p>
            <w:r>
              <w:rPr>
                <w:rFonts w:ascii="宋体" w:hAnsi="宋体" w:eastAsia="宋体"/>
                <w:sz w:val="21"/>
              </w:rPr>
              <w:t>H份额（销售代码〖FYG26142H〗）：浙商银行浙江省内分行网点开户的客户。</w:t>
            </w:r>
          </w:p>
          <w:p>
            <w:r>
              <w:rPr>
                <w:rFonts w:ascii="宋体" w:hAnsi="宋体" w:eastAsia="宋体"/>
                <w:sz w:val="21"/>
              </w:rPr>
              <w:t>I份额（爽盈优选）（销售代码〖FYG26142I〗）：普通个人投资者和机构客户。</w:t>
            </w:r>
          </w:p>
          <w:p>
            <w:r>
              <w:rPr>
                <w:rFonts w:ascii="宋体" w:hAnsi="宋体" w:eastAsia="宋体"/>
                <w:sz w:val="21"/>
              </w:rPr>
              <w:t>J份额（销售代码〖FYG26142J〗）：普通个人投资者和机构客户。</w:t>
            </w:r>
          </w:p>
          <w:p>
            <w:r>
              <w:rPr>
                <w:rFonts w:ascii="宋体" w:hAnsi="宋体" w:eastAsia="宋体"/>
                <w:sz w:val="21"/>
              </w:rPr>
              <w:t>M份额（天府·优选）（销售代码〖FYG26142M〗）：普通个人投资者和机构客户。</w:t>
            </w:r>
          </w:p>
          <w:p>
            <w:r>
              <w:rPr>
                <w:rFonts w:ascii="宋体" w:hAnsi="宋体" w:eastAsia="宋体"/>
                <w:sz w:val="21"/>
              </w:rPr>
              <w:t>N份额惠享款（长长财富·鑫享）（销售代码〖FYG26142N〗）：普通个人投资者和机构客户。</w:t>
            </w:r>
          </w:p>
          <w:p>
            <w:r>
              <w:rPr>
                <w:rFonts w:ascii="宋体" w:hAnsi="宋体" w:eastAsia="宋体"/>
                <w:sz w:val="21"/>
              </w:rPr>
              <w:t>O份额惠享款（销售代码〖FYG26142O〗）：普通个人投资者和机构客户。</w:t>
            </w:r>
          </w:p>
          <w:p>
            <w:r>
              <w:rPr>
                <w:rFonts w:ascii="宋体" w:hAnsi="宋体" w:eastAsia="宋体"/>
                <w:sz w:val="21"/>
              </w:rPr>
              <w:t>P份额（芙蓉锦程·优选）（销售代码〖FYG26142P〗）：普通个人投资者和机构客户。</w:t>
            </w:r>
          </w:p>
          <w:p>
            <w:r>
              <w:rPr>
                <w:rFonts w:ascii="宋体" w:hAnsi="宋体" w:eastAsia="宋体"/>
                <w:sz w:val="21"/>
              </w:rPr>
              <w:t>Q份额（销售代码〖FYG26142Q〗）：普通个人投资者和机构客户。</w:t>
            </w:r>
          </w:p>
          <w:p>
            <w:r>
              <w:rPr>
                <w:rFonts w:ascii="宋体" w:hAnsi="宋体" w:eastAsia="宋体"/>
                <w:sz w:val="21"/>
              </w:rPr>
              <w:t>R份额惠享款吉行十二号（销售代码〖FYG26142R〗）：普通个人投资者和机构客户。</w:t>
            </w:r>
          </w:p>
          <w:p>
            <w:r>
              <w:rPr>
                <w:rFonts w:ascii="宋体" w:hAnsi="宋体" w:eastAsia="宋体"/>
                <w:sz w:val="21"/>
              </w:rPr>
              <w:t>T份额惠享款（齐鲁-逢六有约）（销售代码〖FYG26142T〗）：普通个人投资者和机构客户。</w:t>
            </w:r>
          </w:p>
          <w:p>
            <w:r>
              <w:rPr>
                <w:rFonts w:ascii="宋体" w:hAnsi="宋体" w:eastAsia="宋体"/>
                <w:sz w:val="21"/>
              </w:rPr>
              <w:t>W份额惠享款（销售代码〖FYG26142W〗）：普通个人投资者和机构客户。</w:t>
            </w:r>
          </w:p>
          <w:p>
            <w:r>
              <w:rPr>
                <w:rFonts w:ascii="宋体" w:hAnsi="宋体" w:eastAsia="宋体"/>
                <w:sz w:val="21"/>
              </w:rPr>
              <w:t>X份额（销售代码〖FYG26142X〗）：普通个人投资者。</w:t>
            </w:r>
          </w:p>
          <w:p>
            <w:r>
              <w:rPr>
                <w:rFonts w:ascii="宋体" w:hAnsi="宋体" w:eastAsia="宋体"/>
                <w:sz w:val="21"/>
              </w:rPr>
              <w:t>Y份额惠享款（销售代码〖FYG26142Y〗）：普通个人投资者和机构客户。</w:t>
            </w:r>
          </w:p>
          <w:p>
            <w:r>
              <w:rPr>
                <w:rFonts w:ascii="宋体" w:hAnsi="宋体" w:eastAsia="宋体"/>
                <w:sz w:val="21"/>
              </w:rPr>
              <w:t>Z份额惠享款（销售代码〖FYG26142Z〗）：普通个人投资者和机构客户。</w:t>
            </w:r>
          </w:p>
          <w:p>
            <w:r>
              <w:rPr>
                <w:rFonts w:ascii="宋体" w:hAnsi="宋体" w:eastAsia="宋体"/>
                <w:sz w:val="21"/>
              </w:rPr>
              <w:t>ZA份额惠享款（销售代码〖FYG26142ZA〗）：普通个人投资者和机构客户。</w:t>
            </w:r>
          </w:p>
          <w:p>
            <w:r>
              <w:rPr>
                <w:rFonts w:ascii="宋体" w:hAnsi="宋体" w:eastAsia="宋体"/>
                <w:sz w:val="21"/>
              </w:rPr>
              <w:t>ZC份额惠享款（长长财富·臻享）（销售代码〖FYG26142ZC〗）：普通个人投资者和机构客户。</w:t>
            </w:r>
          </w:p>
          <w:p>
            <w:r>
              <w:rPr>
                <w:rFonts w:ascii="宋体" w:hAnsi="宋体" w:eastAsia="宋体"/>
                <w:sz w:val="21"/>
              </w:rPr>
              <w:t>ZD份额惠享款（湖北银行专属）（销售代码〖FYG26142ZD〗）：普通个人投资者和机构客户。</w:t>
            </w:r>
          </w:p>
          <w:p>
            <w:r>
              <w:rPr>
                <w:rFonts w:ascii="宋体" w:hAnsi="宋体" w:eastAsia="宋体"/>
                <w:sz w:val="21"/>
              </w:rPr>
              <w:t>ZE份额惠享款（销售代码〖FYG26142ZE〗）：普通个人投资者和机构客户。</w:t>
            </w:r>
          </w:p>
          <w:p>
            <w:r>
              <w:rPr>
                <w:rFonts w:ascii="宋体" w:hAnsi="宋体" w:eastAsia="宋体"/>
                <w:sz w:val="21"/>
              </w:rPr>
              <w:t>ZF份额惠享款（销售代码〖FYG26142ZF〗）：普通个人投资者和机构客户。</w:t>
            </w:r>
          </w:p>
          <w:p>
            <w:r>
              <w:rPr>
                <w:rFonts w:ascii="宋体" w:hAnsi="宋体" w:eastAsia="宋体"/>
                <w:sz w:val="21"/>
              </w:rPr>
              <w:t>ZG份额惠享款（销售代码〖FYG26142ZG〗）：普通个人投资者和机构客户。</w:t>
            </w:r>
          </w:p>
          <w:p>
            <w:r>
              <w:rPr>
                <w:rFonts w:ascii="宋体" w:hAnsi="宋体" w:eastAsia="宋体"/>
                <w:sz w:val="21"/>
              </w:rPr>
              <w:t>ZJ份额惠享款（代发专属）（销售代码〖FYG26142ZJ〗）：普通个人投资者和机构客户。</w:t>
            </w:r>
          </w:p>
          <w:p>
            <w:r>
              <w:rPr>
                <w:rFonts w:ascii="宋体" w:hAnsi="宋体" w:eastAsia="宋体"/>
                <w:sz w:val="21"/>
              </w:rPr>
              <w:t>ZL份额惠享款（销售代码〖FYG26142ZL〗）：普通个人投资者和机构客户。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（二）交易规则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募集币种</w:t>
            </w:r>
          </w:p>
        </w:tc>
        <w:tc>
          <w:tcPr>
            <w:tcW w:w="7036" w:type="dxa"/>
            <w:vAlign w:val="center"/>
          </w:tcPr>
          <w:p>
            <w:pPr>
              <w:jc w:val="center"/>
            </w:pPr>
            <w:r>
              <w:rPr>
                <w:rFonts w:ascii="宋体" w:hAnsi="宋体" w:eastAsia="宋体"/>
                <w:sz w:val="21"/>
              </w:rPr>
              <w:t>人民币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起点销售金额</w:t>
            </w:r>
          </w:p>
        </w:tc>
        <w:tc>
          <w:tcPr>
            <w:tcW w:w="7036" w:type="dxa"/>
            <w:vAlign w:val="center"/>
          </w:tcPr>
          <w:p>
            <w:pPr>
              <w:jc w:val="left"/>
            </w:pPr>
            <w:r>
              <w:rPr>
                <w:rFonts w:ascii="宋体" w:hAnsi="宋体" w:eastAsia="宋体"/>
                <w:sz w:val="21"/>
              </w:rPr>
              <w:t>FYG26142A：1.00元；FYG26142B：1.00元；FYG26142C：1.00元；FYG26142D：1.00元；FYG26142E：1.00元；FYG26142F：1.00元；FYG26142G：200,000.00元；FYG26142H：1.00元；FYG26142I：1.00元；FYG26142J：1.00元；FYG26142M：1.00元；FYG26142N：1.00元；FYG26142O：1.00元；FYG26142P：1.00元；FYG26142Q：1.00元；FYG26142R：1.00元；FYG26142T：1.00元；FYG26142W：1.00元；FYG26142X：1.00元；FYG26142Y：1.00元；FYG26142Z：1.00元；FYG26142ZA：1.00元；FYG26142ZC：300,000.00元；FYG26142ZD：200,000.00元；FYG26142ZE：1.00元；FYG26142ZF：1.00元；FYG26142ZG：1.00元；FYG26142ZJ：1.00元；FYG26142ZL：1.00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追加递增金额</w:t>
            </w:r>
          </w:p>
        </w:tc>
        <w:tc>
          <w:tcPr>
            <w:tcW w:w="7036" w:type="dxa"/>
            <w:vAlign w:val="center"/>
          </w:tcPr>
          <w:p>
            <w:pPr>
              <w:jc w:val="left"/>
            </w:pPr>
            <w:r>
              <w:rPr>
                <w:rFonts w:ascii="宋体" w:hAnsi="宋体" w:eastAsia="宋体"/>
                <w:sz w:val="21"/>
              </w:rPr>
              <w:t>FYG26142A：1.00元；FYG26142B：1.00元；FYG26142C：1.00元；FYG26142D：1.00元；FYG26142E：1.00元；FYG26142F：1.00元；FYG26142G：1.00元；FYG26142H：1.00元；FYG26142I：1.00元；FYG26142J：1.00元；FYG26142M：1.00元；FYG26142N：1.00元；FYG26142O：1.00元；FYG26142P：1.00元；FYG26142Q：1.00元；FYG26142R：1.00元；FYG26142T：1.00元；FYG26142W：1.00元；FYG26142X：1.00元；FYG26142Y：1.00元；FYG26142Z：1.00元；FYG26142ZA：1.00元；FYG26142ZC：1.00元；FYG26142ZD：1.00元；FYG26142ZE：1.00元；FYG26142ZF：1.00元；FYG26142ZG：1.00元；FYG26142ZJ：1.00元；FYG26142ZL：1.00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计划募集金额</w:t>
            </w:r>
          </w:p>
        </w:tc>
        <w:tc>
          <w:tcPr>
            <w:tcW w:w="7036" w:type="dxa"/>
            <w:vAlign w:val="center"/>
          </w:tcPr>
          <w:p>
            <w:pPr>
              <w:jc w:val="center"/>
            </w:pPr>
            <w:r>
              <w:rPr>
                <w:rFonts w:ascii="宋体" w:hAnsi="宋体" w:eastAsia="宋体"/>
                <w:sz w:val="21"/>
              </w:rPr>
              <w:t>8,000,000,000.00元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巨额赎回</w:t>
            </w:r>
          </w:p>
        </w:tc>
        <w:tc>
          <w:tcPr>
            <w:tcW w:w="7036" w:type="dxa"/>
            <w:vAlign w:val="center"/>
          </w:tcPr>
          <w:p>
            <w:pPr>
              <w:jc w:val="center"/>
            </w:pPr>
            <w:r>
              <w:rPr>
                <w:rFonts w:ascii="宋体" w:hAnsi="宋体" w:eastAsia="宋体"/>
                <w:sz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（三）产品性质与类型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产品募集方式</w:t>
            </w:r>
          </w:p>
        </w:tc>
        <w:tc>
          <w:tcPr>
            <w:tcW w:w="7036" w:type="dxa"/>
            <w:vAlign w:val="center"/>
          </w:tcPr>
          <w:p>
            <w:pPr>
              <w:jc w:val="center"/>
            </w:pPr>
            <w:r>
              <w:rPr>
                <w:rFonts w:ascii="宋体" w:hAnsi="宋体" w:eastAsia="宋体"/>
                <w:sz w:val="21"/>
              </w:rPr>
              <w:t>公募</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产品投资性质</w:t>
            </w:r>
          </w:p>
        </w:tc>
        <w:tc>
          <w:tcPr>
            <w:tcW w:w="7036" w:type="dxa"/>
            <w:vAlign w:val="center"/>
          </w:tcPr>
          <w:p>
            <w:pPr>
              <w:jc w:val="center"/>
            </w:pPr>
            <w:r>
              <w:rPr>
                <w:rFonts w:ascii="宋体" w:hAnsi="宋体" w:eastAsia="宋体"/>
                <w:sz w:val="21"/>
              </w:rPr>
              <w:t>固定收益类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产品运作模式</w:t>
            </w:r>
          </w:p>
        </w:tc>
        <w:tc>
          <w:tcPr>
            <w:tcW w:w="7036" w:type="dxa"/>
            <w:vAlign w:val="center"/>
          </w:tcPr>
          <w:p>
            <w:pPr>
              <w:jc w:val="center"/>
            </w:pPr>
            <w:r>
              <w:rPr>
                <w:rFonts w:ascii="宋体" w:hAnsi="宋体" w:eastAsia="宋体"/>
                <w:sz w:val="21"/>
              </w:rPr>
              <w:t>封闭式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产品风险等级</w:t>
            </w:r>
          </w:p>
        </w:tc>
        <w:tc>
          <w:tcPr>
            <w:tcW w:w="7036" w:type="dxa"/>
            <w:vAlign w:val="center"/>
          </w:tcPr>
          <w:p>
            <w:pPr>
              <w:jc w:val="center"/>
            </w:pPr>
            <w:r>
              <w:rPr>
                <w:rFonts w:ascii="宋体" w:hAnsi="宋体" w:eastAsia="宋体"/>
                <w:sz w:val="21"/>
              </w:rPr>
              <w:t>R2稳健型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是否为现金管理类产品</w:t>
            </w:r>
          </w:p>
        </w:tc>
        <w:tc>
          <w:tcPr>
            <w:tcW w:w="7036" w:type="dxa"/>
            <w:vAlign w:val="center"/>
          </w:tcPr>
          <w:p>
            <w:pPr>
              <w:jc w:val="center"/>
            </w:pPr>
            <w:r>
              <w:rPr>
                <w:rFonts w:ascii="宋体" w:hAnsi="宋体" w:eastAsia="宋体"/>
                <w:sz w:val="21"/>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（四）产品期限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募集起始日期</w:t>
            </w:r>
          </w:p>
        </w:tc>
        <w:tc>
          <w:tcPr>
            <w:tcW w:w="7036" w:type="dxa"/>
            <w:vAlign w:val="center"/>
          </w:tcPr>
          <w:p>
            <w:pPr>
              <w:jc w:val="center"/>
            </w:pPr>
            <w:r>
              <w:rPr>
                <w:rFonts w:ascii="宋体" w:hAnsi="宋体" w:eastAsia="宋体"/>
                <w:sz w:val="21"/>
              </w:rPr>
              <w:t>2026年9月15日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募集结束日期</w:t>
            </w:r>
          </w:p>
        </w:tc>
        <w:tc>
          <w:tcPr>
            <w:tcW w:w="7036" w:type="dxa"/>
            <w:vAlign w:val="center"/>
          </w:tcPr>
          <w:p>
            <w:pPr>
              <w:jc w:val="center"/>
            </w:pPr>
            <w:r>
              <w:rPr>
                <w:rFonts w:ascii="宋体" w:hAnsi="宋体" w:eastAsia="宋体"/>
                <w:sz w:val="21"/>
              </w:rPr>
              <w:t>2026年9月21日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产品成立日期</w:t>
            </w:r>
          </w:p>
        </w:tc>
        <w:tc>
          <w:tcPr>
            <w:tcW w:w="7036" w:type="dxa"/>
            <w:vAlign w:val="center"/>
          </w:tcPr>
          <w:p>
            <w:pPr>
              <w:jc w:val="center"/>
            </w:pPr>
            <w:r>
              <w:rPr>
                <w:rFonts w:ascii="宋体" w:hAnsi="宋体" w:eastAsia="宋体"/>
                <w:sz w:val="21"/>
              </w:rPr>
              <w:t>2026年9月22日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产品终止日期</w:t>
            </w:r>
          </w:p>
        </w:tc>
        <w:tc>
          <w:tcPr>
            <w:tcW w:w="7036" w:type="dxa"/>
            <w:vAlign w:val="center"/>
          </w:tcPr>
          <w:p>
            <w:pPr>
              <w:jc w:val="center"/>
            </w:pPr>
            <w:r>
              <w:rPr>
                <w:rFonts w:ascii="宋体" w:hAnsi="宋体" w:eastAsia="宋体"/>
                <w:sz w:val="21"/>
              </w:rPr>
              <w:t>2027年10月13日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资金到账日</w:t>
            </w:r>
          </w:p>
        </w:tc>
        <w:tc>
          <w:tcPr>
            <w:tcW w:w="7036" w:type="dxa"/>
            <w:vAlign w:val="center"/>
          </w:tcPr>
          <w:p>
            <w:pPr>
              <w:jc w:val="left"/>
            </w:pPr>
            <w:r>
              <w:rPr>
                <w:rFonts w:ascii="宋体" w:hAnsi="宋体" w:eastAsia="宋体"/>
                <w:sz w:val="21"/>
              </w:rPr>
              <w:t>最快T+1到账。其中T指封闭式产品实际终止日或开放式产品赎回确认日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（五）产品费用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销售服务费率（年化）</w:t>
            </w:r>
          </w:p>
        </w:tc>
        <w:tc>
          <w:tcPr>
            <w:tcW w:w="7036" w:type="dxa"/>
            <w:vAlign w:val="center"/>
          </w:tcPr>
          <w:p>
            <w:pPr>
              <w:jc w:val="left"/>
            </w:pPr>
            <w:r>
              <w:rPr>
                <w:rFonts w:ascii="宋体" w:hAnsi="宋体" w:eastAsia="宋体"/>
                <w:sz w:val="21"/>
              </w:rPr>
              <w:t>FYG26142A：0.30%；FYG26142B：0.20%；FYG26142C：0.10%；FYG26142D：0.15%；FYG26142E：0.40%；FYG26142F：0.40%；FYG26142G：0.05%；FYG26142H：0.05%；FYG26142I：0.30%；FYG26142J：0.05%；FYG26142M：0.15%；FYG26142N：0.20%；FYG26142O：0.30%；FYG26142P：0.15%；FYG26142Q：0.25%；FYG26142R：0.20%；FYG26142T：0.20%；FYG26142W：0.30%；FYG26142X：0.05%；FYG26142Y：0.20%；FYG26142Z：0.10%；FYG26142ZA：0.15%；FYG26142ZC：0.15%；FYG26142ZD：0.05%；FYG26142ZE：0.25%；FYG26142ZF：0.25%；FYG26142ZG：0.20%；FYG26142ZJ：0.20%；FYG26142ZL：0.05%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托管费率（年化）</w:t>
            </w:r>
          </w:p>
        </w:tc>
        <w:tc>
          <w:tcPr>
            <w:tcW w:w="7036" w:type="dxa"/>
            <w:vAlign w:val="center"/>
          </w:tcPr>
          <w:p>
            <w:pPr>
              <w:jc w:val="center"/>
            </w:pPr>
            <w:r>
              <w:rPr>
                <w:rFonts w:ascii="宋体" w:hAnsi="宋体" w:eastAsia="宋体"/>
                <w:sz w:val="21"/>
              </w:rPr>
              <w:t>0.025%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固定管理费率（年化）</w:t>
            </w:r>
          </w:p>
        </w:tc>
        <w:tc>
          <w:tcPr>
            <w:tcW w:w="7036" w:type="dxa"/>
            <w:vAlign w:val="center"/>
          </w:tcPr>
          <w:p>
            <w:pPr>
              <w:jc w:val="left"/>
            </w:pPr>
            <w:r>
              <w:rPr>
                <w:rFonts w:ascii="宋体" w:hAnsi="宋体" w:eastAsia="宋体"/>
                <w:sz w:val="21"/>
              </w:rPr>
              <w:t>FYG26142A：0.10%；FYG26142B：0.10%；FYG26142C：0.10%；FYG26142D：0.10%；FYG26142E：0.15%；FYG26142F：0.10%；FYG26142G：0.10%；FYG26142H：0.10%；FYG26142I：0.10%；FYG26142J：0.10%；FYG26142M：0.00%；FYG26142N：0.10%；FYG26142O：0.10%；FYG26142P：0.00%；FYG26142Q：0.10%；FYG26142R：0.10%；FYG26142T：0.05%；FYG26142W：0.10%；FYG26142X：0.10%；FYG26142Y：0.10%；FYG26142Z：0.10%；FYG26142ZA：0.10%；FYG26142ZC：0.10%；FYG26142ZD：0.10%；FYG26142ZE：0.10%；FYG26142ZF：0.10%；FYG26142ZG：0.05%；FYG26142ZJ：0.10%；FYG26142ZL：0.10%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信息技术服务费率（年化）</w:t>
            </w:r>
          </w:p>
        </w:tc>
        <w:tc>
          <w:tcPr>
            <w:tcW w:w="7036" w:type="dxa"/>
            <w:vAlign w:val="center"/>
          </w:tcPr>
          <w:p>
            <w:pPr>
              <w:jc w:val="center"/>
            </w:pPr>
            <w:r>
              <w:rPr>
                <w:rFonts w:ascii="宋体" w:hAnsi="宋体" w:eastAsia="宋体"/>
                <w:sz w:val="21"/>
              </w:rPr>
              <w:t>0.002%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浮动管理费</w:t>
            </w:r>
          </w:p>
        </w:tc>
        <w:tc>
          <w:tcPr>
            <w:tcW w:w="7036" w:type="dxa"/>
            <w:vAlign w:val="center"/>
          </w:tcPr>
          <w:p>
            <w:pPr>
              <w:jc w:val="left"/>
            </w:pPr>
            <w:r>
              <w:rPr>
                <w:rFonts w:ascii="宋体" w:hAnsi="宋体" w:eastAsia="宋体"/>
                <w:sz w:val="21"/>
              </w:rPr>
              <w:t>管理人根据理财计划投资情况计算浮动管理费，本理财计划份额（除O、ZJ份额）到期日（提前终止日）的折合年化收益率在〖业绩比较基准下限（含）至业绩比较基准上限（含）〗的部分，管理人提取〖50%〗作为浮动管理费，在折合年化收益率超过〖业绩比较基准上限〗的部分，管理人提取〖80%〗作为浮动管理费；〖O份额〗到期日（提前终止日）的折合年化收益率在〖业绩比较基准下限（含）至业绩比较基准中枢（含）〗的部分，管理人提取〖50%〗作为浮动管理费，在折合年化收益率超过〖业绩比较基准中枢〗的部分，管理人提取〖60%〗作为浮动管理费；〖ZJ份额〗到期日（提前终止日）的折合年化收益率在〖业绩比较基准下限（含）至业绩比较基准中枢（含）〗的部分，管理人提取〖50%〗作为浮动管理费，在折合年化收益率超过〖业绩比较基准中枢〗的部分，管理人提取〖60%〗作为浮动管理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认购费率</w:t>
            </w:r>
          </w:p>
        </w:tc>
        <w:tc>
          <w:tcPr>
            <w:tcW w:w="7036" w:type="dxa"/>
            <w:vAlign w:val="center"/>
          </w:tcPr>
          <w:p>
            <w:pPr>
              <w:jc w:val="center"/>
            </w:pPr>
            <w:r>
              <w:rPr>
                <w:rFonts w:ascii="宋体" w:hAnsi="宋体" w:eastAsia="宋体"/>
                <w:sz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申购费率</w:t>
            </w:r>
          </w:p>
        </w:tc>
        <w:tc>
          <w:tcPr>
            <w:tcW w:w="7036" w:type="dxa"/>
            <w:vAlign w:val="center"/>
          </w:tcPr>
          <w:p>
            <w:pPr>
              <w:jc w:val="center"/>
            </w:pPr>
            <w:r>
              <w:rPr>
                <w:rFonts w:ascii="宋体" w:hAnsi="宋体" w:eastAsia="宋体"/>
                <w:sz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赎回费率</w:t>
            </w:r>
          </w:p>
        </w:tc>
        <w:tc>
          <w:tcPr>
            <w:tcW w:w="7036" w:type="dxa"/>
            <w:vAlign w:val="center"/>
          </w:tcPr>
          <w:p>
            <w:pPr>
              <w:jc w:val="center"/>
            </w:pPr>
            <w:r>
              <w:rPr>
                <w:rFonts w:ascii="宋体" w:hAnsi="宋体" w:eastAsia="宋体"/>
                <w:sz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其他费用说明</w:t>
            </w:r>
          </w:p>
        </w:tc>
        <w:tc>
          <w:tcPr>
            <w:tcW w:w="7036" w:type="dxa"/>
            <w:vAlign w:val="center"/>
          </w:tcPr>
          <w:p>
            <w:pPr>
              <w:jc w:val="left"/>
            </w:pPr>
            <w:r>
              <w:rPr>
                <w:rFonts w:ascii="宋体" w:hAnsi="宋体" w:eastAsia="宋体"/>
                <w:sz w:val="21"/>
              </w:rPr>
              <w:t>除上述费用外，由受托管理资产承担的费用包括但不限于：</w:t>
            </w:r>
          </w:p>
          <w:p>
            <w:r>
              <w:rPr>
                <w:rFonts w:ascii="宋体" w:hAnsi="宋体" w:eastAsia="宋体"/>
                <w:sz w:val="21"/>
              </w:rPr>
              <w:t>1、财产管理、运用或处分过程中发生的税费。</w:t>
            </w:r>
          </w:p>
          <w:p>
            <w:r>
              <w:rPr>
                <w:rFonts w:ascii="宋体" w:hAnsi="宋体" w:eastAsia="宋体"/>
                <w:sz w:val="21"/>
              </w:rPr>
              <w:t>2、代理机构手续费、管理费、财务顾问费、保管费。</w:t>
            </w:r>
          </w:p>
          <w:p>
            <w:r>
              <w:rPr>
                <w:rFonts w:ascii="宋体" w:hAnsi="宋体" w:eastAsia="宋体"/>
                <w:sz w:val="21"/>
              </w:rPr>
              <w:t>3、审计费、律师费、公证费等费用。</w:t>
            </w:r>
          </w:p>
          <w:p>
            <w:r>
              <w:rPr>
                <w:rFonts w:ascii="宋体" w:hAnsi="宋体" w:eastAsia="宋体"/>
                <w:sz w:val="21"/>
              </w:rPr>
              <w:t>4、管理人自行或委托第三方向本理财计划所投资产所涉及相关主体进行追偿所发生的费用（包括但不限于诉讼费、仲裁费、律师费、保全费等全部费用）。</w:t>
            </w:r>
          </w:p>
          <w:p>
            <w:r>
              <w:rPr>
                <w:rFonts w:ascii="宋体" w:hAnsi="宋体" w:eastAsia="宋体"/>
                <w:sz w:val="21"/>
              </w:rPr>
              <w:t>5、理财计划的交易费用（包括但不限于交易佣金、相关账户费用等）及投资其他资管产品的费用。</w:t>
            </w:r>
          </w:p>
          <w:p>
            <w:r>
              <w:rPr>
                <w:rFonts w:ascii="宋体" w:hAnsi="宋体" w:eastAsia="宋体"/>
                <w:sz w:val="21"/>
              </w:rPr>
              <w:t>6、监管规定的其他费用。</w:t>
            </w:r>
          </w:p>
          <w:p>
            <w:pPr>
              <w:ind w:firstLine="420"/>
              <w:jc w:val="left"/>
            </w:pPr>
            <w:r>
              <w:rPr>
                <w:rFonts w:ascii="宋体" w:hAnsi="宋体" w:eastAsia="宋体"/>
                <w:sz w:val="21"/>
              </w:rPr>
              <w:t>管理人有权根据国家政策和适用法律的规定，对本理财计划费用名目、收费条件、收费标准和收费方式进行调整，并按照信息披露约定的方式向投资者进行披露。</w:t>
            </w:r>
          </w:p>
          <w:p>
            <w:r>
              <w:rPr>
                <w:rFonts w:ascii="宋体" w:hAnsi="宋体" w:eastAsia="宋体"/>
                <w:sz w:val="21"/>
              </w:rPr>
              <w:t>详细内容见理财产品说明书的“其他费用”章节。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（六）业绩比较基准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业绩比较基准</w:t>
            </w:r>
          </w:p>
        </w:tc>
        <w:tc>
          <w:tcPr>
            <w:tcW w:w="7036" w:type="dxa"/>
            <w:vAlign w:val="center"/>
          </w:tcPr>
          <w:p>
            <w:pPr>
              <w:jc w:val="left"/>
            </w:pPr>
            <w:r>
              <w:rPr>
                <w:rFonts w:ascii="宋体" w:hAnsi="宋体" w:eastAsia="宋体"/>
                <w:sz w:val="21"/>
              </w:rPr>
              <w:t>1. FYG26142A：2.35%-2.55%；FYG26142B：2.45%-2.65%；FYG26142C：2.55%-2.75%；FYG26142D：2.50%-2.70%；FYG26142E：2.20%-2.40%；FYG26142F：2.25%-2.45%；FYG26142G：2.60%-2.80%；FYG26142H：2.60%-2.80%；FYG26142I：2.35%-2.55%；FYG26142J：2.60%-2.80%；FYG26142M：2.60%-2.80%；FYG26142N：2.45%-2.65%；FYG26142O：2.35%-2.55%；FYG26142P：2.60%-2.80%；FYG26142Q：2.40%-2.60%；FYG26142R：2.45%-2.65%；FYG26142T：2.50%-2.70%；FYG26142W：2.35%-2.55%；FYG26142X：2.60%-2.80%；FYG26142Y：2.45%-2.65%；FYG26142Z：2.55%-2.75%；FYG26142ZA：2.50%-2.70%；FYG26142ZC：2.50%-2.70%；FYG26142ZD：2.60%-2.80%；FYG26142ZE：2.40%-2.60%；FYG26142ZF：2.40%-2.60%；FYG26142ZG：2.50%-2.70%；FYG26142ZJ：2.45%-2.65%；FYG26142ZL：2.60%-2.80%</w:t>
            </w:r>
          </w:p>
          <w:p>
            <w:r>
              <w:rPr>
                <w:rFonts w:ascii="宋体" w:hAnsi="宋体" w:eastAsia="宋体"/>
                <w:sz w:val="21"/>
              </w:rPr>
              <w:t>2. 本理财计划重点投资于货币市场工具、债券、非标准化债权类资产等资产，管理人根据固定收益市场历史表现，结合当前利率水平、资产配比及市场同类型产品情况，经综合判断得出。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（七）投资范围与策略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投资范围</w:t>
            </w:r>
          </w:p>
        </w:tc>
        <w:tc>
          <w:tcPr>
            <w:tcW w:w="7036" w:type="dxa"/>
            <w:vAlign w:val="center"/>
          </w:tcPr>
          <w:p>
            <w:pPr>
              <w:jc w:val="left"/>
            </w:pPr>
            <w:r>
              <w:rPr>
                <w:rFonts w:ascii="宋体" w:hAnsi="宋体" w:eastAsia="宋体"/>
                <w:sz w:val="21"/>
              </w:rPr>
              <w:t>1. 固定收益类资产：包括但不限于各类债券、存款、货币市场金融工具、债券基金、质押式及买断式回购、非标准化债权类资产，其他符合监管要求的固定收益类资产及资产管理产品。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固定收益类资产投资上限</w:t>
            </w:r>
          </w:p>
        </w:tc>
        <w:tc>
          <w:tcPr>
            <w:tcW w:w="7036" w:type="dxa"/>
            <w:vAlign w:val="center"/>
          </w:tcPr>
          <w:p>
            <w:pPr>
              <w:jc w:val="center"/>
            </w:pPr>
            <w:r>
              <w:rPr>
                <w:rFonts w:ascii="宋体" w:hAnsi="宋体" w:eastAsia="宋体"/>
                <w:sz w:val="21"/>
              </w:rPr>
              <w:t>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固定收益类资产投资下限</w:t>
            </w:r>
          </w:p>
        </w:tc>
        <w:tc>
          <w:tcPr>
            <w:tcW w:w="7036" w:type="dxa"/>
            <w:vAlign w:val="center"/>
          </w:tcPr>
          <w:p>
            <w:pPr>
              <w:jc w:val="center"/>
            </w:pPr>
            <w:r>
              <w:rPr>
                <w:rFonts w:ascii="宋体" w:hAnsi="宋体" w:eastAsia="宋体"/>
                <w:sz w:val="21"/>
              </w:rPr>
              <w:t>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权益类资产投资上限</w:t>
            </w:r>
          </w:p>
        </w:tc>
        <w:tc>
          <w:tcPr>
            <w:tcW w:w="7036" w:type="dxa"/>
            <w:vAlign w:val="center"/>
          </w:tcPr>
          <w:p>
            <w:pPr>
              <w:jc w:val="center"/>
            </w:pPr>
            <w:r>
              <w:rPr>
                <w:rFonts w:ascii="宋体" w:hAnsi="宋体" w:eastAsia="宋体"/>
                <w:sz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权益类资产投资下限</w:t>
            </w:r>
          </w:p>
        </w:tc>
        <w:tc>
          <w:tcPr>
            <w:tcW w:w="7036" w:type="dxa"/>
            <w:vAlign w:val="center"/>
          </w:tcPr>
          <w:p>
            <w:pPr>
              <w:jc w:val="center"/>
            </w:pPr>
            <w:r>
              <w:rPr>
                <w:rFonts w:ascii="宋体" w:hAnsi="宋体" w:eastAsia="宋体"/>
                <w:sz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商品及金融衍生品类资产投资上限</w:t>
            </w:r>
          </w:p>
        </w:tc>
        <w:tc>
          <w:tcPr>
            <w:tcW w:w="7036" w:type="dxa"/>
            <w:vAlign w:val="center"/>
          </w:tcPr>
          <w:p>
            <w:pPr>
              <w:jc w:val="center"/>
            </w:pPr>
            <w:r>
              <w:rPr>
                <w:rFonts w:ascii="宋体" w:hAnsi="宋体" w:eastAsia="宋体"/>
                <w:sz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商品及金融衍生品类资产投资下限</w:t>
            </w:r>
          </w:p>
        </w:tc>
        <w:tc>
          <w:tcPr>
            <w:tcW w:w="7036" w:type="dxa"/>
            <w:vAlign w:val="center"/>
          </w:tcPr>
          <w:p>
            <w:pPr>
              <w:jc w:val="center"/>
            </w:pPr>
            <w:r>
              <w:rPr>
                <w:rFonts w:ascii="宋体" w:hAnsi="宋体" w:eastAsia="宋体"/>
                <w:sz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（八）其他约定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其他约定</w:t>
            </w:r>
          </w:p>
        </w:tc>
        <w:tc>
          <w:tcPr>
            <w:tcW w:w="7036" w:type="dxa"/>
            <w:vAlign w:val="center"/>
          </w:tcPr>
          <w:p>
            <w:pPr>
              <w:jc w:val="left"/>
            </w:pPr>
            <w:r>
              <w:rPr>
                <w:rFonts w:ascii="宋体" w:hAnsi="宋体" w:eastAsia="宋体"/>
                <w:sz w:val="21"/>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r>
              <w:rPr>
                <w:rFonts w:ascii="宋体" w:hAnsi="宋体" w:eastAsia="宋体"/>
                <w:sz w:val="21"/>
              </w:rPr>
              <w:t>支付给投资者的理财收益的应纳税款由投资者自行申报及缴纳。</w:t>
            </w:r>
          </w:p>
        </w:tc>
      </w:tr>
    </w:tbl>
    <w:p>
      <w:pPr>
        <w:pageBreakBefore/>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幸福99丰裕固收386天26142期理财</w:t>
      </w:r>
      <w:r>
        <w:rPr>
          <w:rFonts w:hint="eastAsia" w:ascii="宋体" w:hAnsi="宋体" w:cs="宋体"/>
          <w:b/>
          <w:bCs/>
          <w:color w:val="000000"/>
          <w:sz w:val="44"/>
          <w:szCs w:val="44"/>
          <w:highlight w:val="none"/>
        </w:rPr>
        <w:t>风险揭示书</w:t>
      </w:r>
    </w:p>
    <w:p>
      <w:pPr>
        <w:jc w:val="center"/>
        <w:rPr>
          <w:rFonts w:hint="eastAsia" w:ascii="宋体" w:hAnsi="宋体" w:cs="宋体"/>
          <w:color w:val="000000"/>
          <w:sz w:val="28"/>
          <w:szCs w:val="28"/>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202602</w:t>
      </w:r>
      <w:r>
        <w:rPr>
          <w:rFonts w:hint="eastAsia" w:ascii="宋体" w:hAnsi="宋体" w:cs="宋体"/>
          <w:color w:val="000000"/>
          <w:sz w:val="28"/>
          <w:szCs w:val="28"/>
          <w:highlight w:val="none"/>
        </w:rPr>
        <w:t>版）</w:t>
      </w:r>
    </w:p>
    <w:p>
      <w:pPr>
        <w:spacing w:line="360" w:lineRule="auto"/>
        <w:jc w:val="left"/>
        <w:rPr>
          <w:rFonts w:hint="eastAsia" w:ascii="宋体" w:hAnsi="宋体" w:cs="宋体"/>
          <w:color w:val="000000"/>
          <w:sz w:val="24"/>
          <w:highlight w:val="none"/>
        </w:rPr>
      </w:pPr>
      <w:r>
        <w:rPr>
          <w:rFonts w:hint="eastAsia" w:ascii="宋体" w:hAnsi="宋体" w:cs="宋体"/>
          <w:color w:val="000000"/>
          <w:sz w:val="24"/>
          <w:highlight w:val="none"/>
        </w:rPr>
        <w:t>尊敬的理财投资者：</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w:t>
      </w:r>
      <w:r>
        <w:rPr>
          <w:rFonts w:hint="eastAsia" w:ascii="宋体" w:hAnsi="宋体" w:cs="宋体"/>
          <w:b/>
          <w:bCs/>
          <w:color w:val="000000"/>
          <w:sz w:val="24"/>
          <w:highlight w:val="none"/>
          <w:u w:val="single"/>
          <w:lang w:eastAsia="zh-CN"/>
        </w:rPr>
        <w:t>须</w:t>
      </w:r>
      <w:r>
        <w:rPr>
          <w:rFonts w:hint="eastAsia" w:ascii="宋体" w:hAnsi="宋体" w:cs="宋体"/>
          <w:b/>
          <w:bCs/>
          <w:color w:val="000000"/>
          <w:sz w:val="24"/>
          <w:highlight w:val="none"/>
          <w:u w:val="single"/>
        </w:rPr>
        <w:t>谨慎</w:t>
      </w:r>
    </w:p>
    <w:p>
      <w:pPr>
        <w:spacing w:line="360" w:lineRule="auto"/>
        <w:ind w:firstLine="480" w:firstLineChars="200"/>
        <w:jc w:val="left"/>
        <w:rPr>
          <w:rFonts w:hint="eastAsia" w:ascii="宋体" w:hAnsi="宋体" w:cs="宋体"/>
          <w:b/>
          <w:color w:val="000000"/>
          <w:sz w:val="24"/>
          <w:highlight w:val="none"/>
        </w:rPr>
      </w:pPr>
      <w:r>
        <w:rPr>
          <w:rFonts w:hint="eastAsia" w:ascii="宋体" w:hAnsi="宋体" w:cs="宋体"/>
          <w:bCs/>
          <w:color w:val="000000"/>
          <w:sz w:val="24"/>
          <w:highlight w:val="none"/>
        </w:rPr>
        <w:t>根据</w:t>
      </w:r>
      <w:r>
        <w:rPr>
          <w:rFonts w:hint="eastAsia" w:ascii="宋体" w:hAnsi="宋体" w:cs="宋体"/>
          <w:bCs/>
          <w:color w:val="000000"/>
          <w:sz w:val="24"/>
          <w:highlight w:val="none"/>
          <w:lang w:eastAsia="zh-CN"/>
        </w:rPr>
        <w:t>国家金融监督管理总局</w:t>
      </w:r>
      <w:r>
        <w:rPr>
          <w:rFonts w:hint="eastAsia" w:ascii="宋体" w:hAnsi="宋体" w:cs="宋体"/>
          <w:bCs/>
          <w:color w:val="000000"/>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风险揭示书、理财计划说明书、投资者权益须知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和理财计划（</w:t>
      </w:r>
      <w:r>
        <w:rPr>
          <w:rFonts w:hint="eastAsia" w:ascii="宋体" w:hAnsi="宋体" w:cs="宋体"/>
          <w:bCs/>
          <w:color w:val="000000"/>
          <w:sz w:val="24"/>
          <w:highlight w:val="none"/>
          <w:lang w:val="en-US" w:eastAsia="zh-CN"/>
        </w:rPr>
        <w:t>代理销售</w:t>
      </w:r>
      <w:r>
        <w:rPr>
          <w:rFonts w:hint="eastAsia" w:ascii="宋体" w:hAnsi="宋体" w:cs="宋体"/>
          <w:bCs/>
          <w:color w:val="000000"/>
          <w:sz w:val="24"/>
          <w:highlight w:val="none"/>
          <w:lang w:eastAsia="zh-CN"/>
        </w:rPr>
        <w:t>）销售协议书</w:t>
      </w:r>
      <w:r>
        <w:rPr>
          <w:rFonts w:hint="eastAsia" w:ascii="宋体" w:hAnsi="宋体" w:cs="宋体"/>
          <w:bCs/>
          <w:color w:val="000000"/>
          <w:sz w:val="24"/>
          <w:highlight w:val="none"/>
        </w:rPr>
        <w:t>，</w:t>
      </w:r>
      <w:r>
        <w:rPr>
          <w:rFonts w:hint="eastAsia" w:ascii="宋体" w:hAnsi="宋体" w:cs="宋体"/>
          <w:b/>
          <w:bCs w:val="0"/>
          <w:color w:val="000000"/>
          <w:sz w:val="24"/>
          <w:highlight w:val="none"/>
        </w:rPr>
        <w:t>若通过电子渠道购买的，成功交易后视同为投资者与管理人已完成理财计划交易合同的签订</w:t>
      </w:r>
      <w:r>
        <w:rPr>
          <w:rFonts w:hint="eastAsia" w:ascii="宋体" w:hAnsi="宋体" w:cs="宋体"/>
          <w:bCs/>
          <w:color w:val="000000"/>
          <w:sz w:val="24"/>
          <w:highlight w:val="none"/>
        </w:rPr>
        <w:t>），了解理财计划相关具体情况，并确保已评估自身的风险承受能力和理财计划相关风险后，谨慎投资。</w:t>
      </w:r>
      <w:r>
        <w:rPr>
          <w:rFonts w:hint="eastAsia" w:ascii="宋体" w:hAnsi="宋体" w:cs="宋体"/>
          <w:b/>
          <w:color w:val="000000"/>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理财计划共性风险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购买力风险：如发生通货膨胀，则所投资产的收益可能会被通货膨胀抵消，从而对理财计划收益</w:t>
      </w:r>
      <w:r>
        <w:rPr>
          <w:rFonts w:hint="eastAsia" w:ascii="宋体" w:hAnsi="宋体" w:cs="宋体"/>
          <w:b/>
          <w:color w:val="000000"/>
          <w:sz w:val="24"/>
          <w:highlight w:val="none"/>
          <w:lang w:eastAsia="zh-CN"/>
        </w:rPr>
        <w:t>的实际购买力</w:t>
      </w:r>
      <w:r>
        <w:rPr>
          <w:rFonts w:hint="eastAsia" w:ascii="宋体" w:hAnsi="宋体" w:cs="宋体"/>
          <w:b/>
          <w:color w:val="000000"/>
          <w:sz w:val="24"/>
          <w:highlight w:val="none"/>
        </w:rPr>
        <w:t>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政策风险：理财计划根据当前的相关法规和政策设计，如国家宏观政策以及相关市场</w:t>
      </w:r>
      <w:r>
        <w:rPr>
          <w:rFonts w:hint="eastAsia" w:ascii="宋体" w:hAnsi="宋体" w:cs="宋体"/>
          <w:b/>
          <w:color w:val="000000"/>
          <w:sz w:val="24"/>
          <w:highlight w:val="none"/>
          <w:lang w:val="en-US" w:eastAsia="zh-CN"/>
        </w:rPr>
        <w:t>法律、</w:t>
      </w:r>
      <w:r>
        <w:rPr>
          <w:rFonts w:hint="eastAsia" w:ascii="宋体" w:hAnsi="宋体" w:cs="宋体"/>
          <w:b/>
          <w:color w:val="000000"/>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终止风险：为保护投资者利益，在理财计划存续期间，管理人可根据理财计划说明书约定的情形提前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终止本理财计划。如理财计划被提前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终止，则投资者将面临提前终止再投资</w:t>
      </w:r>
      <w:r>
        <w:rPr>
          <w:rFonts w:hint="eastAsia" w:ascii="宋体" w:hAnsi="宋体" w:cs="宋体"/>
          <w:b/>
          <w:color w:val="000000"/>
          <w:sz w:val="24"/>
          <w:highlight w:val="none"/>
          <w:lang w:eastAsia="zh-CN"/>
        </w:rPr>
        <w:t>或延期兑付</w:t>
      </w:r>
      <w:r>
        <w:rPr>
          <w:rFonts w:hint="eastAsia" w:ascii="宋体" w:hAnsi="宋体" w:cs="宋体"/>
          <w:b/>
          <w:color w:val="000000"/>
          <w:sz w:val="24"/>
          <w:highlight w:val="none"/>
        </w:rPr>
        <w:t>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信息传递风险：</w:t>
      </w:r>
      <w:r>
        <w:rPr>
          <w:rFonts w:hint="eastAsia" w:ascii="宋体" w:hAnsi="宋体" w:cs="宋体"/>
          <w:b/>
          <w:color w:val="000000"/>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color w:val="000000"/>
          <w:sz w:val="24"/>
          <w:highlight w:val="none"/>
        </w:rPr>
        <w:t>由于投资者未能及时主动了解理财计划信息</w:t>
      </w:r>
      <w:r>
        <w:rPr>
          <w:rFonts w:hint="eastAsia" w:ascii="宋体" w:hAnsi="宋体" w:cs="宋体"/>
          <w:b/>
          <w:color w:val="000000"/>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color w:val="000000"/>
          <w:sz w:val="24"/>
          <w:highlight w:val="none"/>
        </w:rPr>
        <w:t>。</w:t>
      </w:r>
      <w:r>
        <w:rPr>
          <w:rFonts w:hint="eastAsia" w:ascii="宋体" w:hAnsi="宋体" w:cs="宋体"/>
          <w:b/>
          <w:color w:val="000000"/>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color w:val="000000"/>
          <w:sz w:val="24"/>
          <w:highlight w:val="none"/>
          <w:lang w:eastAsia="zh-CN"/>
        </w:rPr>
        <w:t>理</w:t>
      </w:r>
      <w:r>
        <w:rPr>
          <w:rFonts w:hint="eastAsia" w:ascii="宋体" w:hAnsi="宋体" w:cs="宋体"/>
          <w:b/>
          <w:color w:val="000000"/>
          <w:sz w:val="24"/>
          <w:highlight w:val="none"/>
        </w:rPr>
        <w:t>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eastAsia="zh-CN"/>
        </w:rPr>
        <w:t>关</w:t>
      </w:r>
      <w:r>
        <w:rPr>
          <w:rFonts w:ascii="宋体" w:hAnsi="宋体" w:cs="宋体"/>
          <w:b/>
          <w:color w:val="000000"/>
          <w:sz w:val="24"/>
          <w:highlight w:val="none"/>
        </w:rPr>
        <w:t>联关系</w:t>
      </w:r>
      <w:r>
        <w:rPr>
          <w:rFonts w:hint="eastAsia" w:ascii="宋体" w:hAnsi="宋体" w:cs="宋体"/>
          <w:b/>
          <w:color w:val="000000"/>
          <w:sz w:val="24"/>
          <w:highlight w:val="none"/>
          <w:lang w:val="en-US" w:eastAsia="zh-CN"/>
        </w:rPr>
        <w:t>及关联交易</w:t>
      </w:r>
      <w:r>
        <w:rPr>
          <w:rFonts w:ascii="宋体" w:hAnsi="宋体" w:cs="宋体"/>
          <w:b/>
          <w:color w:val="000000"/>
          <w:sz w:val="24"/>
          <w:highlight w:val="none"/>
        </w:rPr>
        <w:t>风险：</w:t>
      </w:r>
      <w:r>
        <w:rPr>
          <w:rFonts w:hint="eastAsia" w:ascii="宋体" w:hAnsi="宋体" w:cs="宋体"/>
          <w:b/>
          <w:color w:val="000000"/>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color w:val="000000"/>
          <w:sz w:val="24"/>
          <w:highlight w:val="none"/>
        </w:rPr>
        <w:t>杭州银行股份有限公司</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以下简称“杭州银行”</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作为理财计划的销售服务机构</w:t>
      </w:r>
      <w:r>
        <w:rPr>
          <w:rFonts w:ascii="宋体" w:hAnsi="宋体" w:cs="宋体"/>
          <w:b/>
          <w:color w:val="000000"/>
          <w:sz w:val="24"/>
          <w:highlight w:val="none"/>
        </w:rPr>
        <w:t>，</w:t>
      </w:r>
      <w:r>
        <w:rPr>
          <w:rFonts w:hint="eastAsia" w:ascii="宋体" w:hAnsi="宋体" w:cs="宋体"/>
          <w:b/>
          <w:color w:val="000000"/>
          <w:sz w:val="24"/>
          <w:highlight w:val="none"/>
          <w:lang w:val="en-US" w:eastAsia="zh-CN"/>
        </w:rPr>
        <w:t>负责理财计划的代理销售工作。</w:t>
      </w:r>
      <w:r>
        <w:rPr>
          <w:rFonts w:ascii="宋体" w:hAnsi="宋体" w:cs="宋体"/>
          <w:b/>
          <w:color w:val="000000"/>
          <w:sz w:val="24"/>
          <w:highlight w:val="none"/>
        </w:rPr>
        <w:t>杭银理财系杭州银行全资子公司，双方存在关联关系。</w:t>
      </w:r>
      <w:r>
        <w:rPr>
          <w:rFonts w:hint="eastAsia" w:ascii="宋体" w:hAnsi="宋体" w:cs="宋体"/>
          <w:b/>
          <w:color w:val="000000"/>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keepNext w:val="0"/>
        <w:keepLines w:val="0"/>
        <w:widowControl w:val="0"/>
        <w:suppressLineNumbers w:val="0"/>
        <w:spacing w:before="0" w:beforeAutospacing="0" w:after="0" w:afterAutospacing="0" w:line="360" w:lineRule="auto"/>
        <w:ind w:left="0" w:right="0" w:firstLine="482" w:firstLineChars="200"/>
        <w:jc w:val="left"/>
        <w:outlineLvl w:val="9"/>
        <w:rPr>
          <w:rFonts w:hint="eastAsia" w:ascii="宋体" w:hAnsi="宋体" w:eastAsia="宋体" w:cs="宋体"/>
          <w:b/>
          <w:bCs/>
          <w:kern w:val="2"/>
          <w:sz w:val="24"/>
          <w:szCs w:val="24"/>
          <w:highlight w:val="none"/>
        </w:rPr>
      </w:pPr>
      <w:r>
        <w:rPr>
          <w:rFonts w:hint="eastAsia" w:ascii="宋体" w:hAnsi="宋体" w:eastAsia="宋体" w:cs="宋体"/>
          <w:b/>
          <w:bCs/>
          <w:color w:val="000000"/>
          <w:kern w:val="2"/>
          <w:sz w:val="24"/>
          <w:szCs w:val="24"/>
          <w:highlight w:val="none"/>
          <w:lang w:val="en-US" w:eastAsia="zh-CN" w:bidi="ar"/>
        </w:rPr>
        <w:t>上述风险仅为列举情况，可能未能详尽列明投资本理财计划可能面临的全部风险和可能导致投资者本金及收益损失的所有因素。针对本理财计划可能面临的各类潜在风险，管理人将本着勤勉尽责的管理原则，采用包括不限于如下风险控制措施予以应对：</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kern w:val="2"/>
          <w:sz w:val="24"/>
          <w:szCs w:val="24"/>
          <w:highlight w:val="none"/>
        </w:rPr>
      </w:pPr>
      <w:r>
        <w:rPr>
          <w:rFonts w:hint="eastAsia" w:ascii="宋体" w:hAnsi="宋体" w:eastAsia="宋体" w:cs="宋体"/>
          <w:b/>
          <w:bCs/>
          <w:color w:val="000000"/>
          <w:kern w:val="2"/>
          <w:sz w:val="24"/>
          <w:szCs w:val="24"/>
          <w:highlight w:val="none"/>
          <w:lang w:val="en-US" w:eastAsia="zh-CN" w:bidi="ar"/>
        </w:rPr>
        <w:t>针对各类核心风险，实施精细化分级管控。对于市场风险，建立市场行情动态监测、资产估值校验、投资组合管理机制，实时跟踪利率、汇率、资本市场等波动变量，通过限额管理、分散投资、压力测试等方式缓释市场波动风险；对于信用风险，建立严格的交易对手准入、信用评级、尽职调查及存续期跟踪机制，常态化开展信用风险排查与预警，严控信用违约风险；对于流动性风险，建立流动性指标常态化监测、大额申赎管控、应急流动性储备等机制，严格落实流动性风险限额管理，有效应对产品与市场流动性波动变化风险。</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kern w:val="2"/>
          <w:sz w:val="24"/>
          <w:szCs w:val="24"/>
          <w:highlight w:val="none"/>
        </w:rPr>
      </w:pPr>
      <w:r>
        <w:rPr>
          <w:rFonts w:hint="eastAsia" w:ascii="宋体" w:hAnsi="宋体" w:eastAsia="宋体" w:cs="宋体"/>
          <w:b/>
          <w:bCs/>
          <w:color w:val="000000"/>
          <w:kern w:val="2"/>
          <w:sz w:val="24"/>
          <w:szCs w:val="24"/>
          <w:highlight w:val="none"/>
          <w:lang w:val="en-US" w:eastAsia="zh-CN" w:bidi="ar"/>
        </w:rPr>
        <w:t>强化操作风险与合规风险管控，建立全面内部控制体系，对业务操作、系统运维、人员管理等关键环节实施常态化稽核检查与风险排查，规范岗位操作权限，完善系统风控壁垒，维护理财计划稳健运营。</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ascii="宋体" w:hAnsi="宋体" w:cs="宋体"/>
          <w:b/>
          <w:color w:val="000000"/>
          <w:sz w:val="24"/>
          <w:highlight w:val="none"/>
        </w:rPr>
      </w:pPr>
      <w:r>
        <w:rPr>
          <w:rFonts w:hint="eastAsia" w:ascii="宋体" w:hAnsi="宋体" w:eastAsia="宋体" w:cs="宋体"/>
          <w:b/>
          <w:bCs/>
          <w:color w:val="000000"/>
          <w:kern w:val="2"/>
          <w:sz w:val="24"/>
          <w:szCs w:val="24"/>
          <w:highlight w:val="none"/>
          <w:lang w:val="en-US" w:eastAsia="zh-CN" w:bidi="ar"/>
        </w:rPr>
        <w:t>持续完善风险治理结构，建立自上而下、权责清晰的风险管理组织体系，构建“事前防范、事中监控、事后处置”的全链条风险治理机制，各类风险统一归口管理、分级分类管控，切实保障投资者合规合法权益。</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理财计划特定风险</w:t>
      </w:r>
    </w:p>
    <w:p>
      <w:pPr>
        <w:keepNext w:val="0"/>
        <w:keepLines w:val="0"/>
        <w:widowControl w:val="0"/>
        <w:numPr>
          <w:ilvl w:val="0"/>
          <w:numId w:val="6"/>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资金流动性风险：本理财计划认购份额确认后，封闭式运作，产品终止前投资者不得提前赎回。</w:t>
      </w:r>
    </w:p>
    <w:p>
      <w:pPr>
        <w:keepNext w:val="0"/>
        <w:keepLines w:val="0"/>
        <w:widowControl w:val="0"/>
        <w:numPr>
          <w:ilvl w:val="0"/>
          <w:numId w:val="6"/>
        </w:numPr>
        <w:suppressLineNumbers w:val="0"/>
        <w:spacing w:before="0" w:beforeAutospacing="0" w:after="0" w:afterAutospacing="0" w:line="360" w:lineRule="auto"/>
        <w:ind w:left="0" w:right="0" w:firstLine="420"/>
        <w:jc w:val="left"/>
        <w:rPr>
          <w:rFonts w:hint="eastAsia" w:ascii="宋体" w:hAnsi="宋体" w:cs="宋体"/>
          <w:b/>
          <w:color w:val="000000"/>
          <w:sz w:val="24"/>
          <w:highlight w:val="none"/>
        </w:rPr>
      </w:pPr>
      <w:r>
        <w:rPr>
          <w:rFonts w:hint="eastAsia" w:ascii="宋体" w:hAnsi="宋体" w:eastAsia="宋体" w:cs="宋体"/>
          <w:b/>
          <w:bCs/>
          <w:color w:val="000000"/>
          <w:kern w:val="2"/>
          <w:sz w:val="24"/>
          <w:szCs w:val="24"/>
          <w:lang w:val="en-US" w:eastAsia="zh-CN" w:bidi="ar"/>
        </w:rPr>
        <w:t>收益不达业绩比较基准风险：本理财计划可投资于债券及非标准化债权类资产等固定收益类及权益类资产，因融资人违约及市场波动或导致投资者的本金出现损失。</w:t>
      </w: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上述理财计划共性与特定风险发生时，投资者的本金及收益可能遭受损失，在最不利情形下，将损失全部本金及收益</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如有</w:t>
      </w:r>
      <w:r>
        <w:rPr>
          <w:rFonts w:hint="eastAsia" w:ascii="宋体" w:hAnsi="宋体" w:cs="宋体"/>
          <w:b/>
          <w:color w:val="000000"/>
          <w:sz w:val="24"/>
          <w:highlight w:val="none"/>
          <w:lang w:eastAsia="zh-CN"/>
        </w:rPr>
        <w:t>）</w:t>
      </w:r>
      <w:r>
        <w:rPr>
          <w:rFonts w:hint="eastAsia" w:ascii="宋体" w:hAnsi="宋体" w:cs="宋体"/>
          <w:b/>
          <w:color w:val="000000"/>
          <w:sz w:val="24"/>
          <w:highlight w:val="none"/>
        </w:rPr>
        <w:t>，由此产生的风险及损失将由投资者自行承担。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其他信息提示</w:t>
      </w: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w:t>
      </w:r>
      <w:r>
        <w:rPr>
          <w:rFonts w:hint="eastAsia" w:ascii="宋体" w:hAnsi="宋体" w:cs="宋体"/>
          <w:bCs/>
          <w:color w:val="000000"/>
          <w:sz w:val="24"/>
          <w:highlight w:val="none"/>
        </w:rPr>
        <w:t>根据现有法律法规及金融监管机构对于理财产品及投资者的相关分类，投资者还需了解以下信息：</w:t>
      </w:r>
    </w:p>
    <w:p>
      <w:pPr>
        <w:numPr>
          <w:ilvl w:val="0"/>
          <w:numId w:val="7"/>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根据募集方式的不同，理财产品分为公募理财产品和私募理财产品。</w:t>
      </w:r>
      <w:r>
        <w:rPr>
          <w:rFonts w:hint="eastAsia" w:ascii="宋体" w:hAnsi="宋体" w:cs="宋体"/>
          <w:bCs/>
          <w:color w:val="000000"/>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最近1年末净资产不低于1000万元人民币的法人或者依法成立的其他组织；</w:t>
      </w:r>
    </w:p>
    <w:p>
      <w:pPr>
        <w:numPr>
          <w:ilvl w:val="0"/>
          <w:numId w:val="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国务院银行业监督管理机构规定的其他情形。</w:t>
      </w:r>
    </w:p>
    <w:p>
      <w:pPr>
        <w:numPr>
          <w:ilvl w:val="0"/>
          <w:numId w:val="9"/>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根据投资性质的不同，理财产品分为固定收益类理财产品、权益类理财产品、商品及金融衍生品类理财产品和混合类理财产品。</w:t>
      </w:r>
      <w:r>
        <w:rPr>
          <w:rFonts w:hint="eastAsia" w:ascii="宋体" w:hAnsi="宋体" w:cs="宋体"/>
          <w:bCs/>
          <w:color w:val="000000"/>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9"/>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根据运作方式的不同，将理财产品分为封闭式理财产品和开放式理财产品。</w:t>
      </w:r>
      <w:r>
        <w:rPr>
          <w:rFonts w:hint="eastAsia" w:ascii="宋体" w:hAnsi="宋体" w:cs="宋体"/>
          <w:bCs/>
          <w:color w:val="000000"/>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keepNext w:val="0"/>
        <w:keepLines w:val="0"/>
        <w:widowControl w:val="0"/>
        <w:numPr>
          <w:ilvl w:val="0"/>
          <w:numId w:val="0"/>
        </w:numPr>
        <w:suppressLineNumbers w:val="0"/>
        <w:spacing w:before="0" w:beforeAutospacing="0" w:after="0" w:afterAutospacing="0" w:line="360" w:lineRule="auto"/>
        <w:ind w:left="0" w:leftChars="0" w:right="0" w:rightChars="0" w:firstLine="482" w:firstLineChars="200"/>
        <w:jc w:val="left"/>
        <w:outlineLvl w:val="9"/>
        <w:rPr>
          <w:rFonts w:hint="eastAsia" w:ascii="宋体" w:hAnsi="宋体" w:eastAsia="宋体" w:cs="宋体"/>
          <w:b/>
          <w:bCs/>
          <w:kern w:val="2"/>
          <w:sz w:val="24"/>
          <w:szCs w:val="24"/>
          <w:highlight w:val="none"/>
        </w:rPr>
      </w:pPr>
      <w:r>
        <w:rPr>
          <w:rFonts w:hint="eastAsia" w:ascii="宋体" w:hAnsi="宋体" w:cs="宋体"/>
          <w:b/>
          <w:bCs/>
          <w:color w:val="000000"/>
          <w:kern w:val="2"/>
          <w:sz w:val="24"/>
          <w:szCs w:val="24"/>
          <w:highlight w:val="none"/>
          <w:lang w:val="en-US" w:eastAsia="zh-CN" w:bidi="ar"/>
        </w:rPr>
        <w:t>（四）</w:t>
      </w:r>
      <w:r>
        <w:rPr>
          <w:rFonts w:hint="eastAsia" w:ascii="宋体" w:hAnsi="宋体" w:eastAsia="宋体" w:cs="宋体"/>
          <w:b/>
          <w:bCs/>
          <w:color w:val="000000"/>
          <w:kern w:val="2"/>
          <w:sz w:val="24"/>
          <w:szCs w:val="24"/>
          <w:highlight w:val="none"/>
          <w:lang w:val="en-US" w:eastAsia="zh-CN" w:bidi="ar"/>
        </w:rPr>
        <w:t>根据适当性管理原则，将理财投资人分为专业投资者和普通投资者。其中专业投资者应符合下列条件之一：</w:t>
      </w:r>
    </w:p>
    <w:p>
      <w:pPr>
        <w:keepNext w:val="0"/>
        <w:keepLines w:val="0"/>
        <w:widowControl w:val="0"/>
        <w:numPr>
          <w:ilvl w:val="0"/>
          <w:numId w:val="10"/>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color w:val="000000"/>
          <w:kern w:val="2"/>
          <w:sz w:val="24"/>
          <w:szCs w:val="24"/>
          <w:highlight w:val="none"/>
          <w:lang w:val="en-US" w:eastAsia="zh-CN" w:bidi="ar"/>
        </w:rPr>
        <w:t>银行业金融机构、保险业</w:t>
      </w:r>
      <w:r>
        <w:rPr>
          <w:rFonts w:hint="eastAsia" w:ascii="宋体" w:hAnsi="宋体" w:eastAsia="宋体" w:cs="宋体"/>
          <w:i w:val="0"/>
          <w:iCs w:val="0"/>
          <w:caps w:val="0"/>
          <w:color w:val="000000"/>
          <w:spacing w:val="0"/>
          <w:kern w:val="2"/>
          <w:sz w:val="24"/>
          <w:szCs w:val="24"/>
          <w:highlight w:val="none"/>
          <w:shd w:val="clear" w:color="auto" w:fill="FFFFFF"/>
          <w:lang w:val="en-US" w:eastAsia="zh-CN" w:bidi="ar"/>
        </w:rPr>
        <w:t>金融机构、金融控股公司、证券基金期货经营机构、私募基金管理人；</w:t>
      </w:r>
    </w:p>
    <w:p>
      <w:pPr>
        <w:keepNext w:val="0"/>
        <w:keepLines w:val="0"/>
        <w:widowControl w:val="0"/>
        <w:numPr>
          <w:ilvl w:val="0"/>
          <w:numId w:val="10"/>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i w:val="0"/>
          <w:iCs w:val="0"/>
          <w:caps w:val="0"/>
          <w:color w:val="000000"/>
          <w:spacing w:val="0"/>
          <w:kern w:val="2"/>
          <w:sz w:val="24"/>
          <w:szCs w:val="24"/>
          <w:highlight w:val="none"/>
          <w:shd w:val="clear" w:color="auto" w:fill="FFFFFF"/>
          <w:lang w:val="en-US" w:eastAsia="zh-CN" w:bidi="ar"/>
        </w:rPr>
        <w:t>上述机构面向投资者发行的金融产品，信托公司管理的资产服务信托、公益慈善信托；</w:t>
      </w:r>
    </w:p>
    <w:p>
      <w:pPr>
        <w:keepNext w:val="0"/>
        <w:keepLines w:val="0"/>
        <w:widowControl w:val="0"/>
        <w:numPr>
          <w:ilvl w:val="0"/>
          <w:numId w:val="10"/>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color w:val="000000"/>
          <w:kern w:val="2"/>
          <w:sz w:val="24"/>
          <w:szCs w:val="24"/>
          <w:highlight w:val="none"/>
          <w:lang w:val="en-US" w:eastAsia="zh-CN" w:bidi="ar"/>
        </w:rPr>
        <w:t>社会</w:t>
      </w:r>
      <w:r>
        <w:rPr>
          <w:rFonts w:hint="eastAsia" w:ascii="宋体" w:hAnsi="宋体" w:eastAsia="宋体" w:cs="宋体"/>
          <w:i w:val="0"/>
          <w:iCs w:val="0"/>
          <w:caps w:val="0"/>
          <w:color w:val="000000"/>
          <w:spacing w:val="0"/>
          <w:kern w:val="2"/>
          <w:sz w:val="24"/>
          <w:szCs w:val="24"/>
          <w:highlight w:val="none"/>
          <w:shd w:val="clear" w:color="auto" w:fill="FFFFFF"/>
          <w:lang w:val="en-US" w:eastAsia="zh-CN" w:bidi="ar"/>
        </w:rPr>
        <w:t>保障基金、企业年金、职业年金等养老基金，慈善基金等社会公益基金，合格境外机构投资者（QFII）、人民币合格境外机构投资者（RQFII）。</w:t>
      </w:r>
    </w:p>
    <w:p>
      <w:pPr>
        <w:keepNext w:val="0"/>
        <w:keepLines w:val="0"/>
        <w:widowControl w:val="0"/>
        <w:suppressLineNumbers w:val="0"/>
        <w:spacing w:before="0" w:beforeAutospacing="0" w:after="0" w:afterAutospacing="0" w:line="360" w:lineRule="auto"/>
        <w:ind w:left="0" w:right="0" w:firstLine="240" w:firstLineChars="10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color w:val="000000"/>
          <w:kern w:val="2"/>
          <w:sz w:val="24"/>
          <w:szCs w:val="24"/>
          <w:highlight w:val="none"/>
          <w:lang w:val="en-US" w:eastAsia="zh-CN" w:bidi="ar"/>
        </w:rPr>
        <w:t xml:space="preserve">  专业投资者之外的投资者为普通投资者。</w:t>
      </w:r>
    </w:p>
    <w:p>
      <w:pPr>
        <w:keepNext w:val="0"/>
        <w:keepLines w:val="0"/>
        <w:widowControl w:val="0"/>
        <w:suppressLineNumbers w:val="0"/>
        <w:spacing w:before="0" w:beforeAutospacing="0" w:after="0" w:afterAutospacing="0" w:line="360" w:lineRule="auto"/>
        <w:ind w:left="0" w:right="0" w:firstLine="240" w:firstLineChars="100"/>
        <w:jc w:val="left"/>
        <w:rPr>
          <w:rFonts w:hint="eastAsia" w:ascii="宋体" w:hAnsi="宋体" w:eastAsia="宋体" w:cs="宋体"/>
          <w:kern w:val="2"/>
          <w:sz w:val="24"/>
          <w:szCs w:val="24"/>
          <w:highlight w:val="none"/>
          <w:lang w:val="en-US" w:eastAsia="zh-CN" w:bidi="ar"/>
        </w:rPr>
      </w:pP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本理财计划为</w:t>
      </w:r>
      <w:r>
        <w:rPr>
          <w:rFonts w:hint="eastAsia" w:ascii="宋体" w:hAnsi="宋体" w:eastAsia="宋体" w:cs="宋体"/>
          <w:b/>
          <w:color w:val="000000"/>
          <w:kern w:val="2"/>
          <w:sz w:val="24"/>
          <w:szCs w:val="24"/>
          <w:highlight w:val="none"/>
          <w:lang w:val="en-US" w:eastAsia="zh-CN" w:bidi="ar-SA"/>
        </w:rPr>
        <w:t>公募</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封闭式</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固定收益类</w:t>
      </w:r>
      <w:r>
        <w:rPr>
          <w:rFonts w:hint="eastAsia" w:ascii="宋体" w:hAnsi="宋体" w:cs="宋体"/>
          <w:b/>
          <w:color w:val="000000"/>
          <w:sz w:val="24"/>
          <w:highlight w:val="none"/>
        </w:rPr>
        <w:t>〗净值型理财计划，〖</w:t>
      </w:r>
      <w:r>
        <w:rPr>
          <w:rFonts w:hint="eastAsia" w:ascii="宋体" w:hAnsi="宋体" w:eastAsia="宋体" w:cs="宋体"/>
          <w:b/>
          <w:color w:val="000000"/>
          <w:kern w:val="2"/>
          <w:sz w:val="24"/>
          <w:szCs w:val="24"/>
          <w:highlight w:val="none"/>
          <w:lang w:val="en-US" w:eastAsia="zh-CN" w:bidi="ar-SA"/>
        </w:rPr>
        <w:t>386</w:t>
      </w:r>
      <w:r>
        <w:rPr>
          <w:rFonts w:hint="eastAsia" w:ascii="宋体" w:hAnsi="宋体" w:cs="宋体"/>
          <w:b/>
          <w:color w:val="000000"/>
          <w:sz w:val="24"/>
          <w:highlight w:val="none"/>
        </w:rPr>
        <w:t>〗</w:t>
      </w:r>
      <w:r>
        <w:rPr>
          <w:rFonts w:hint="eastAsia" w:ascii="宋体" w:hAnsi="宋体" w:cs="宋体"/>
          <w:b/>
          <w:color w:val="000000"/>
          <w:sz w:val="24"/>
          <w:highlight w:val="none"/>
          <w:lang w:eastAsia="zh-CN"/>
        </w:rPr>
        <w:t>天</w:t>
      </w:r>
      <w:r>
        <w:rPr>
          <w:rFonts w:hint="eastAsia" w:ascii="宋体" w:hAnsi="宋体" w:cs="宋体"/>
          <w:bCs/>
          <w:color w:val="000000"/>
          <w:sz w:val="24"/>
          <w:highlight w:val="none"/>
          <w:lang w:eastAsia="zh-CN"/>
        </w:rPr>
        <w:t>，</w:t>
      </w:r>
      <w:r>
        <w:rPr>
          <w:rFonts w:hint="eastAsia" w:ascii="宋体" w:hAnsi="宋体" w:cs="宋体"/>
          <w:b/>
          <w:color w:val="000000"/>
          <w:sz w:val="24"/>
          <w:highlight w:val="none"/>
        </w:rPr>
        <w:t>不保证本金与收益。</w:t>
      </w:r>
      <w:r>
        <w:rPr>
          <w:rFonts w:hint="eastAsia" w:ascii="宋体" w:hAnsi="宋体" w:cs="宋体"/>
          <w:b/>
          <w:color w:val="000000"/>
          <w:sz w:val="24"/>
          <w:highlight w:val="none"/>
          <w:lang w:val="en-US" w:eastAsia="zh-CN"/>
        </w:rPr>
        <w:t>理财计划过往业绩不代表其未来表现，不等于理财计划实际收益，投资须谨慎！</w:t>
      </w:r>
      <w:r>
        <w:rPr>
          <w:rFonts w:hint="eastAsia" w:ascii="宋体" w:hAnsi="宋体" w:cs="宋体"/>
          <w:b/>
          <w:color w:val="000000"/>
          <w:sz w:val="24"/>
          <w:highlight w:val="none"/>
        </w:rPr>
        <w:t>根据本公司理财产品内部风险评级，该理财计划风险评级结果为〖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sz w:val="24"/>
          <w:highlight w:val="none"/>
        </w:rPr>
        <w:t>〗风险</w:t>
      </w:r>
      <w:r>
        <w:rPr>
          <w:rFonts w:hint="eastAsia" w:ascii="宋体" w:hAnsi="宋体" w:cs="宋体"/>
          <w:bCs/>
          <w:color w:val="000000"/>
          <w:sz w:val="24"/>
          <w:highlight w:val="none"/>
        </w:rPr>
        <w:t>（本风险等级为我公司内部风险评级结果，仅供参考,理财计划通过代理销售机构渠道销售的，理财计划产品评级应当以代理销售机构最终披露的评级结果为准。销售机构评级与本公司产品评级不一致的，销售机构应当采用较高风险等级的评级结果并予以披露。），</w:t>
      </w:r>
      <w:r>
        <w:rPr>
          <w:rFonts w:hint="eastAsia" w:ascii="宋体" w:hAnsi="宋体" w:cs="宋体"/>
          <w:b/>
          <w:color w:val="000000"/>
          <w:sz w:val="24"/>
          <w:highlight w:val="none"/>
        </w:rPr>
        <w:t>总体风险〖</w:t>
      </w:r>
      <w:r>
        <w:rPr>
          <w:rFonts w:hint="eastAsia" w:ascii="宋体" w:hAnsi="宋体" w:eastAsia="宋体" w:cs="宋体"/>
          <w:b/>
          <w:color w:val="000000"/>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color w:val="000000"/>
          <w:sz w:val="24"/>
          <w:highlight w:val="none"/>
        </w:rPr>
        <w:t>〗。</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本理财计划适合</w:t>
      </w:r>
      <w:r>
        <w:rPr>
          <w:rFonts w:hint="eastAsia" w:ascii="宋体" w:hAnsi="宋体" w:eastAsia="宋体" w:cs="宋体"/>
          <w:b/>
          <w:color w:val="000000"/>
          <w:kern w:val="2"/>
          <w:sz w:val="24"/>
          <w:szCs w:val="24"/>
          <w:highlight w:val="none"/>
          <w:lang w:val="en-US" w:eastAsia="zh-CN" w:bidi="ar-SA"/>
        </w:rPr>
        <w:t>〖稳健型、平衡型、进取型、激进型〗的〖个人、机构投资者〗</w:t>
      </w:r>
      <w:r>
        <w:rPr>
          <w:rFonts w:hint="eastAsia" w:ascii="宋体" w:hAnsi="宋体" w:cs="宋体"/>
          <w:b/>
          <w:color w:val="000000"/>
          <w:sz w:val="24"/>
          <w:highlight w:val="none"/>
          <w:lang w:eastAsia="zh-CN"/>
        </w:rPr>
        <w:t>。</w:t>
      </w:r>
      <w:r>
        <w:rPr>
          <w:rFonts w:hint="eastAsia" w:ascii="宋体" w:hAnsi="宋体" w:cs="宋体"/>
          <w:b w:val="0"/>
          <w:bCs/>
          <w:color w:val="000000"/>
          <w:sz w:val="24"/>
          <w:highlight w:val="none"/>
          <w:lang w:val="en-US" w:eastAsia="zh-CN"/>
        </w:rPr>
        <w:t>本理财计划投资者适当性评估由销售机构负责，销售机构应确保普通投资者的风险承受能力不低于本理财计划风险评级，最终理财计划风险评级应以销售机构最终披露的评级结果为准。如普通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特别提示：杭银理财有限责任公司作为本</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管理人</w:t>
      </w:r>
      <w:r>
        <w:rPr>
          <w:rFonts w:hint="eastAsia" w:ascii="宋体" w:hAnsi="宋体" w:cs="宋体"/>
          <w:bCs/>
          <w:color w:val="000000"/>
          <w:sz w:val="24"/>
          <w:szCs w:val="24"/>
          <w:highlight w:val="none"/>
        </w:rPr>
        <w:t>有权按照</w:t>
      </w:r>
      <w:r>
        <w:rPr>
          <w:rFonts w:hint="eastAsia" w:ascii="宋体" w:hAnsi="宋体" w:cs="宋体"/>
          <w:bCs/>
          <w:color w:val="000000"/>
          <w:sz w:val="24"/>
          <w:highlight w:val="none"/>
        </w:rPr>
        <w:t>国内外反洗钱相关适用的</w:t>
      </w:r>
      <w:r>
        <w:rPr>
          <w:rFonts w:hint="eastAsia" w:ascii="宋体" w:hAnsi="宋体" w:cs="宋体"/>
          <w:bCs/>
          <w:color w:val="000000"/>
          <w:sz w:val="24"/>
          <w:szCs w:val="24"/>
          <w:highlight w:val="none"/>
        </w:rPr>
        <w:t>法律法规和监管要求，从</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szCs w:val="24"/>
          <w:highlight w:val="none"/>
        </w:rPr>
        <w:t>获</w:t>
      </w:r>
      <w:r>
        <w:rPr>
          <w:rFonts w:hint="eastAsia" w:ascii="宋体" w:hAnsi="宋体" w:cs="宋体"/>
          <w:bCs/>
          <w:color w:val="000000"/>
          <w:sz w:val="24"/>
          <w:highlight w:val="none"/>
        </w:rPr>
        <w:t>得相应必要的</w:t>
      </w:r>
      <w:r>
        <w:rPr>
          <w:rFonts w:hint="eastAsia" w:ascii="宋体" w:hAnsi="宋体" w:cs="宋体"/>
          <w:bCs/>
          <w:color w:val="000000"/>
          <w:sz w:val="24"/>
          <w:szCs w:val="24"/>
          <w:highlight w:val="none"/>
        </w:rPr>
        <w:t>投资者身份信息并报送投资者身份信息及其持有理财产品信息。</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highlight w:val="none"/>
        </w:rPr>
        <w:t>将</w:t>
      </w:r>
      <w:r>
        <w:rPr>
          <w:rFonts w:hint="eastAsia" w:ascii="宋体" w:hAnsi="宋体" w:cs="宋体"/>
          <w:bCs/>
          <w:color w:val="000000"/>
          <w:sz w:val="24"/>
          <w:szCs w:val="24"/>
          <w:highlight w:val="none"/>
        </w:rPr>
        <w:t>在</w:t>
      </w:r>
      <w:r>
        <w:rPr>
          <w:rFonts w:hint="eastAsia" w:ascii="宋体" w:hAnsi="宋体" w:cs="宋体"/>
          <w:bCs/>
          <w:color w:val="000000"/>
          <w:sz w:val="24"/>
          <w:highlight w:val="none"/>
        </w:rPr>
        <w:t>合法、合理且必要时向管理人</w:t>
      </w:r>
      <w:r>
        <w:rPr>
          <w:rFonts w:hint="eastAsia" w:ascii="宋体" w:hAnsi="宋体" w:cs="宋体"/>
          <w:bCs/>
          <w:color w:val="000000"/>
          <w:sz w:val="24"/>
          <w:szCs w:val="24"/>
          <w:highlight w:val="none"/>
        </w:rPr>
        <w:t>提供投资</w:t>
      </w:r>
      <w:r>
        <w:rPr>
          <w:rFonts w:hint="eastAsia" w:ascii="宋体" w:hAnsi="宋体" w:cs="宋体"/>
          <w:bCs/>
          <w:color w:val="000000"/>
          <w:sz w:val="24"/>
          <w:highlight w:val="none"/>
        </w:rPr>
        <w:t>者身份识别</w:t>
      </w:r>
      <w:r>
        <w:rPr>
          <w:rFonts w:hint="eastAsia" w:ascii="宋体" w:hAnsi="宋体" w:cs="宋体"/>
          <w:bCs/>
          <w:color w:val="000000"/>
          <w:sz w:val="24"/>
          <w:szCs w:val="24"/>
          <w:highlight w:val="none"/>
        </w:rPr>
        <w:t>信息（投资者身份</w:t>
      </w:r>
      <w:r>
        <w:rPr>
          <w:rFonts w:hint="eastAsia" w:ascii="宋体" w:hAnsi="宋体" w:cs="宋体"/>
          <w:bCs/>
          <w:color w:val="000000"/>
          <w:sz w:val="24"/>
          <w:highlight w:val="none"/>
        </w:rPr>
        <w:t>识别</w:t>
      </w:r>
      <w:r>
        <w:rPr>
          <w:rFonts w:hint="eastAsia" w:ascii="宋体" w:hAnsi="宋体" w:cs="宋体"/>
          <w:bCs/>
          <w:color w:val="000000"/>
          <w:sz w:val="24"/>
          <w:szCs w:val="24"/>
          <w:highlight w:val="none"/>
        </w:rPr>
        <w:t>信息包括</w:t>
      </w:r>
      <w:r>
        <w:rPr>
          <w:rFonts w:hint="eastAsia" w:ascii="宋体" w:hAnsi="宋体" w:cs="宋体"/>
          <w:bCs/>
          <w:color w:val="000000"/>
          <w:sz w:val="24"/>
          <w:highlight w:val="none"/>
        </w:rPr>
        <w:t>但不限于</w:t>
      </w:r>
      <w:r>
        <w:rPr>
          <w:rFonts w:hint="eastAsia" w:ascii="宋体" w:hAnsi="宋体" w:cs="宋体"/>
          <w:bCs/>
          <w:color w:val="000000"/>
          <w:sz w:val="24"/>
          <w:szCs w:val="24"/>
          <w:highlight w:val="none"/>
        </w:rPr>
        <w:t>：投资者的姓名、性别、国籍、职业、住所地或者工作单位地址、</w:t>
      </w:r>
      <w:r>
        <w:rPr>
          <w:rFonts w:hint="eastAsia" w:ascii="宋体" w:hAnsi="宋体" w:cs="宋体"/>
          <w:bCs/>
          <w:color w:val="000000"/>
          <w:sz w:val="24"/>
          <w:highlight w:val="none"/>
        </w:rPr>
        <w:t>常居地地址、</w:t>
      </w:r>
      <w:r>
        <w:rPr>
          <w:rFonts w:hint="eastAsia" w:ascii="宋体" w:hAnsi="宋体" w:cs="宋体"/>
          <w:bCs/>
          <w:color w:val="000000"/>
          <w:sz w:val="24"/>
          <w:szCs w:val="24"/>
          <w:highlight w:val="none"/>
        </w:rPr>
        <w:t>联系方式、身份证明文件的种类、号码和有效期限</w:t>
      </w:r>
      <w:r>
        <w:rPr>
          <w:rFonts w:hint="eastAsia" w:ascii="宋体" w:hAnsi="宋体" w:cs="宋体"/>
          <w:bCs/>
          <w:color w:val="000000"/>
          <w:sz w:val="24"/>
          <w:highlight w:val="none"/>
        </w:rPr>
        <w:t>、代理人信息、受益所有人信息</w:t>
      </w:r>
      <w:r>
        <w:rPr>
          <w:rFonts w:hint="eastAsia" w:ascii="宋体" w:hAnsi="宋体" w:cs="宋体"/>
          <w:bCs/>
          <w:color w:val="000000"/>
          <w:sz w:val="24"/>
          <w:szCs w:val="24"/>
          <w:highlight w:val="none"/>
        </w:rPr>
        <w:t>），以及</w:t>
      </w:r>
      <w:r>
        <w:rPr>
          <w:rFonts w:hint="eastAsia" w:ascii="宋体" w:hAnsi="宋体" w:cs="宋体"/>
          <w:bCs/>
          <w:color w:val="000000"/>
          <w:sz w:val="24"/>
          <w:highlight w:val="none"/>
        </w:rPr>
        <w:t>在合法、合理且必要时进一步提供</w:t>
      </w:r>
      <w:r>
        <w:rPr>
          <w:rFonts w:hint="eastAsia" w:ascii="宋体" w:hAnsi="宋体" w:cs="宋体"/>
          <w:bCs/>
          <w:color w:val="000000"/>
          <w:sz w:val="24"/>
          <w:szCs w:val="24"/>
          <w:highlight w:val="none"/>
        </w:rPr>
        <w:t>身份证明文件的复印件和影印件</w:t>
      </w:r>
      <w:r>
        <w:rPr>
          <w:rFonts w:hint="eastAsia" w:ascii="宋体" w:hAnsi="宋体" w:cs="宋体"/>
          <w:bCs/>
          <w:color w:val="000000"/>
          <w:sz w:val="24"/>
          <w:highlight w:val="none"/>
        </w:rPr>
        <w:t>以及其他必要信息</w:t>
      </w:r>
      <w:r>
        <w:rPr>
          <w:rFonts w:hint="eastAsia" w:ascii="宋体" w:hAnsi="宋体" w:cs="宋体"/>
          <w:bCs/>
          <w:color w:val="000000"/>
          <w:sz w:val="24"/>
          <w:szCs w:val="24"/>
          <w:highlight w:val="none"/>
        </w:rPr>
        <w:t>。投资者签署</w:t>
      </w:r>
      <w:r>
        <w:rPr>
          <w:rFonts w:hint="eastAsia" w:ascii="宋体" w:hAnsi="宋体" w:cs="宋体"/>
          <w:bCs/>
          <w:color w:val="000000"/>
          <w:sz w:val="24"/>
          <w:highlight w:val="none"/>
        </w:rPr>
        <w:t>后</w:t>
      </w:r>
      <w:r>
        <w:rPr>
          <w:rFonts w:hint="eastAsia" w:ascii="宋体" w:hAnsi="宋体" w:cs="宋体"/>
          <w:bCs/>
          <w:color w:val="000000"/>
          <w:sz w:val="24"/>
          <w:szCs w:val="24"/>
          <w:highlight w:val="none"/>
        </w:rPr>
        <w:t>即表示同意并配合提供前述信</w:t>
      </w:r>
      <w:r>
        <w:rPr>
          <w:rFonts w:hint="eastAsia" w:ascii="宋体" w:hAnsi="宋体" w:cs="宋体"/>
          <w:bCs/>
          <w:color w:val="000000"/>
          <w:sz w:val="24"/>
          <w:highlight w:val="none"/>
        </w:rPr>
        <w:t>息。</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right"/>
        <w:rPr>
          <w:rFonts w:hint="eastAsia" w:ascii="宋体" w:hAnsi="宋体" w:cs="宋体"/>
          <w:b/>
          <w:color w:val="000000"/>
          <w:highlight w:val="none"/>
        </w:rPr>
      </w:pPr>
      <w:r>
        <w:rPr>
          <w:rFonts w:hint="eastAsia" w:ascii="宋体" w:hAnsi="宋体" w:cs="宋体"/>
          <w:bCs/>
          <w:color w:val="000000"/>
          <w:sz w:val="24"/>
          <w:highlight w:val="none"/>
        </w:rPr>
        <w:t>风险提示方：杭银理财有限责任公司</w:t>
      </w:r>
    </w:p>
    <w:p>
      <w:pPr>
        <w:rPr>
          <w:rFonts w:hint="eastAsia" w:ascii="宋体" w:hAnsi="宋体" w:eastAsia="宋体" w:cs="宋体"/>
          <w:b/>
          <w:bCs/>
          <w:color w:val="000000"/>
          <w:kern w:val="2"/>
          <w:sz w:val="24"/>
          <w:szCs w:val="24"/>
        </w:rPr>
      </w:pPr>
      <w:r>
        <w:rPr>
          <w:rFonts w:hint="eastAsia" w:ascii="宋体" w:hAnsi="宋体" w:cs="宋体"/>
          <w:b/>
          <w:color w:val="000000"/>
          <w:highlight w:val="none"/>
        </w:rPr>
        <w:br w:type="page"/>
      </w:r>
    </w:p>
    <w:p>
      <w:pPr>
        <w:pStyle w:val="6"/>
        <w:keepNext w:val="0"/>
        <w:keepLines w:val="0"/>
        <w:pageBreakBefore/>
        <w:widowControl w:val="0"/>
        <w:suppressLineNumbers w:val="0"/>
        <w:autoSpaceDE w:val="0"/>
        <w:autoSpaceDN w:val="0"/>
        <w:adjustRightInd w:val="0"/>
        <w:spacing w:before="0" w:beforeAutospacing="0" w:after="0" w:afterAutospacing="0" w:line="360" w:lineRule="auto"/>
        <w:ind w:left="0" w:right="0"/>
        <w:jc w:val="center"/>
        <w:outlineLvl w:val="9"/>
        <w:rPr>
          <w:rFonts w:hint="eastAsia" w:ascii="宋体" w:hAnsi="宋体" w:eastAsia="宋体" w:cs="宋体"/>
          <w:b/>
          <w:bCs/>
          <w:sz w:val="24"/>
          <w:szCs w:val="24"/>
          <w:highlight w:val="none"/>
        </w:rPr>
      </w:pPr>
      <w:r>
        <w:rPr>
          <w:rFonts w:hint="eastAsia" w:ascii="宋体" w:hAnsi="宋体" w:eastAsia="宋体" w:cs="宋体"/>
          <w:b/>
          <w:bCs/>
          <w:color w:val="000000"/>
          <w:kern w:val="0"/>
          <w:sz w:val="24"/>
          <w:szCs w:val="24"/>
          <w:highlight w:val="none"/>
          <w:lang w:val="en-US" w:eastAsia="zh-CN" w:bidi="ar"/>
        </w:rPr>
        <w:t>投资者确认栏（普通投资者填写）</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b/>
          <w:bCs/>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本人/本机构经销售机构评估的风险承受能力等级为：</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lang w:val="en-US" w:eastAsia="zh-CN" w:bidi="ar"/>
        </w:rPr>
        <w:t>（投资者填写）</w:t>
      </w:r>
      <w:r>
        <w:rPr>
          <w:rFonts w:hint="eastAsia" w:ascii="宋体" w:hAnsi="宋体" w:eastAsia="宋体" w:cs="宋体"/>
          <w:color w:val="000000"/>
          <w:kern w:val="0"/>
          <w:sz w:val="24"/>
          <w:szCs w:val="24"/>
          <w:highlight w:val="none"/>
          <w:u w:val="singl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u w:val="single"/>
          <w:lang w:val="en-US" w:eastAsia="zh-CN" w:bidi="ar"/>
        </w:rPr>
        <w:t>如超过一年未进行风险承受能力评估或影响本人风险承受能力的因素发生变化，本人/本机构将于再次购买理财计划时及时完成风险承受能力评估。</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72" w:firstLineChars="196"/>
        <w:jc w:val="both"/>
        <w:rPr>
          <w:rFonts w:hint="eastAsia" w:ascii="宋体" w:hAnsi="宋体" w:eastAsia="宋体" w:cs="宋体"/>
          <w:b/>
          <w:bCs/>
          <w:sz w:val="24"/>
          <w:szCs w:val="24"/>
          <w:highlight w:val="none"/>
          <w:u w:val="single"/>
        </w:rPr>
      </w:pPr>
      <w:r>
        <w:rPr>
          <w:rFonts w:hint="eastAsia" w:ascii="宋体" w:hAnsi="宋体" w:eastAsia="宋体" w:cs="宋体"/>
          <w:b/>
          <w:bCs/>
          <w:color w:val="000000"/>
          <w:kern w:val="0"/>
          <w:sz w:val="24"/>
          <w:szCs w:val="24"/>
          <w:highlight w:val="none"/>
          <w:u w:val="single"/>
          <w:lang w:val="en-US" w:eastAsia="zh-CN" w:bidi="ar"/>
        </w:rPr>
        <w:t>声明：本人/本机构已经认真阅读本风险揭示书以及《理财计划产品说明书》《投资者权益须知》《理财计划投资协议书》《理财计划销售协议书》，已对其作全面、准确的理解，充分认识到投资本理财计划要求承担的风险，接受本风险揭示书及《理财计划产品说明书》《投资者权益须知》《理财计划投资协议书》《理财计划销售协议书》等本理财计划合同全部内容，自愿且有能力承担投资本理财计划的风险。</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72" w:firstLineChars="196"/>
        <w:jc w:val="both"/>
        <w:rPr>
          <w:rFonts w:hint="eastAsia" w:ascii="宋体" w:hAnsi="宋体" w:eastAsia="宋体" w:cs="宋体"/>
          <w:b/>
          <w:bCs/>
          <w:sz w:val="24"/>
          <w:szCs w:val="24"/>
          <w:highlight w:val="none"/>
          <w:u w:val="single"/>
        </w:rPr>
      </w:pPr>
      <w:r>
        <w:rPr>
          <w:rFonts w:hint="eastAsia" w:ascii="宋体" w:hAnsi="宋体" w:eastAsia="宋体" w:cs="宋体"/>
          <w:b/>
          <w:bCs/>
          <w:color w:val="000000"/>
          <w:kern w:val="0"/>
          <w:sz w:val="24"/>
          <w:szCs w:val="24"/>
          <w:highlight w:val="none"/>
          <w:u w:val="single"/>
          <w:lang w:val="en-US" w:eastAsia="zh-CN" w:bidi="ar"/>
        </w:rPr>
        <w:t>本人/本机构购买本理财计划的资金为合法自有资金，不存在使用借款、贷款等非自有资金的情形；且系为合法目的投资本理财计划，而非为洗钱等违法违规之目的，本人/本机构将配合管理人或销售机构开展客户身份识别及尽职调查、反恐怖融资以及非居民金融账户尽职调查等，及时、真实、准确提供身份信息及资金来源信息。</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360" w:firstLineChars="150"/>
        <w:jc w:val="both"/>
        <w:rPr>
          <w:rFonts w:hint="eastAsia" w:ascii="宋体" w:hAnsi="宋体" w:eastAsia="宋体" w:cs="宋体"/>
          <w:b/>
          <w:bCs/>
          <w:sz w:val="24"/>
          <w:szCs w:val="24"/>
          <w:highlight w:val="none"/>
        </w:rPr>
      </w:pPr>
      <w:r>
        <w:rPr>
          <w:rFonts w:hint="eastAsia" w:ascii="宋体" w:hAnsi="宋体" w:eastAsia="宋体" w:cs="宋体"/>
          <w:color w:val="000000"/>
          <w:kern w:val="0"/>
          <w:sz w:val="24"/>
          <w:szCs w:val="24"/>
          <w:highlight w:val="none"/>
          <w:lang w:val="en-US" w:eastAsia="zh-CN" w:bidi="ar"/>
        </w:rPr>
        <w:t>（投资者需全文抄录以下文字以完成确认：</w:t>
      </w:r>
      <w:r>
        <w:rPr>
          <w:rFonts w:hint="eastAsia" w:ascii="宋体" w:hAnsi="宋体" w:eastAsia="宋体" w:cs="宋体"/>
          <w:b/>
          <w:bCs/>
          <w:color w:val="000000"/>
          <w:kern w:val="0"/>
          <w:sz w:val="24"/>
          <w:szCs w:val="24"/>
          <w:highlight w:val="none"/>
          <w:lang w:val="en-US" w:eastAsia="zh-CN" w:bidi="ar"/>
        </w:rPr>
        <w:t xml:space="preserve">“本人/本机构已经阅读上述风险揭示，愿意承担投资风险。”如通过线上渠道购买，认/申购交易确认即知晓并同意自身风险承受能力等级并确认风险揭示内容，愿意承担投资风险，与书面签署具有同等效力。）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lang w:val="en-US" w:eastAsia="zh-CN" w:bidi="ar"/>
        </w:rPr>
        <w:t>本人/本机构同时确认如下：</w:t>
      </w:r>
      <w:r>
        <w:rPr>
          <w:rFonts w:hint="eastAsia" w:ascii="宋体" w:hAnsi="宋体" w:eastAsia="宋体" w:cs="宋体"/>
          <w:color w:val="000000"/>
          <w:kern w:val="0"/>
          <w:sz w:val="24"/>
          <w:szCs w:val="24"/>
          <w:highlight w:val="none"/>
          <w:u w:val="singl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个人投资者（签字）：</w:t>
      </w:r>
      <w:r>
        <w:rPr>
          <w:rFonts w:hint="eastAsia" w:ascii="宋体" w:hAnsi="宋体" w:eastAsia="宋体" w:cs="宋体"/>
          <w:color w:val="000000"/>
          <w:kern w:val="0"/>
          <w:sz w:val="24"/>
          <w:szCs w:val="24"/>
          <w:highlight w:val="none"/>
          <w:u w:val="single"/>
          <w:lang w:val="en-US" w:eastAsia="zh-CN" w:bidi="ar"/>
        </w:rPr>
        <w:t xml:space="preserve">                    </w:t>
      </w:r>
      <w:r>
        <w:rPr>
          <w:rFonts w:hint="eastAsia" w:ascii="宋体" w:hAnsi="宋体" w:eastAsia="宋体" w:cs="宋体"/>
          <w:color w:val="000000"/>
          <w:kern w:val="0"/>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机构投资者（盖章）：</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机构投资者法定代表人或授权代表（签字或盖章）：</w:t>
      </w:r>
    </w:p>
    <w:p>
      <w:pPr>
        <w:keepNext w:val="0"/>
        <w:keepLines w:val="0"/>
        <w:widowControl w:val="0"/>
        <w:suppressLineNumbers w:val="0"/>
        <w:spacing w:before="0" w:beforeAutospacing="0" w:after="0" w:afterAutospacing="0" w:line="360" w:lineRule="auto"/>
        <w:ind w:left="0" w:right="0" w:firstLine="5280" w:firstLineChars="2200"/>
        <w:jc w:val="center"/>
        <w:rPr>
          <w:rFonts w:hint="eastAsia" w:ascii="宋体" w:hAnsi="宋体" w:eastAsia="宋体" w:cs="宋体"/>
          <w:kern w:val="0"/>
          <w:sz w:val="24"/>
          <w:szCs w:val="24"/>
        </w:rPr>
      </w:pPr>
      <w:r>
        <w:rPr>
          <w:rFonts w:hint="eastAsia" w:ascii="宋体" w:hAnsi="宋体" w:eastAsia="宋体" w:cs="宋体"/>
          <w:color w:val="000000"/>
          <w:kern w:val="0"/>
          <w:sz w:val="24"/>
          <w:szCs w:val="24"/>
          <w:lang w:val="en-US" w:eastAsia="zh-CN" w:bidi="ar"/>
        </w:rPr>
        <w:t xml:space="preserve"> </w:t>
      </w:r>
    </w:p>
    <w:p>
      <w:pPr>
        <w:keepNext w:val="0"/>
        <w:keepLines w:val="0"/>
        <w:widowControl w:val="0"/>
        <w:suppressLineNumbers w:val="0"/>
        <w:spacing w:before="0" w:beforeAutospacing="0" w:after="0" w:afterAutospacing="0"/>
        <w:ind w:left="0" w:right="0" w:firstLine="480" w:firstLineChars="200"/>
        <w:jc w:val="both"/>
        <w:rPr>
          <w:rFonts w:ascii="宋体" w:hAnsi="宋体" w:cs="宋体"/>
          <w:bCs/>
          <w:color w:val="000000"/>
          <w:sz w:val="24"/>
          <w:highlight w:val="none"/>
        </w:rPr>
      </w:pPr>
      <w:r>
        <w:rPr>
          <w:rFonts w:hint="eastAsia" w:ascii="宋体" w:hAnsi="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t>日期：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r>
        <w:rPr>
          <w:rFonts w:ascii="宋体" w:hAnsi="宋体" w:cs="宋体"/>
          <w:bCs/>
          <w:color w:val="000000"/>
          <w:sz w:val="24"/>
          <w:highlight w:val="none"/>
        </w:rPr>
        <w:br w:type="page"/>
      </w:r>
    </w:p>
    <w:p>
      <w:pPr>
        <w:pageBreakBefore/>
        <w:widowControl/>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幸福99丰裕固收386天26142期理财</w:t>
      </w:r>
      <w:r>
        <w:rPr>
          <w:rFonts w:hint="eastAsia" w:ascii="宋体" w:hAnsi="宋体" w:cs="宋体"/>
          <w:b/>
          <w:bCs/>
          <w:color w:val="000000"/>
          <w:sz w:val="44"/>
          <w:szCs w:val="44"/>
          <w:highlight w:val="none"/>
        </w:rPr>
        <w:t>产品说明书</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202602</w:t>
      </w:r>
      <w:r>
        <w:rPr>
          <w:rFonts w:hint="eastAsia" w:ascii="宋体" w:hAnsi="宋体" w:cs="宋体"/>
          <w:color w:val="000000"/>
          <w:sz w:val="28"/>
          <w:szCs w:val="28"/>
          <w:highlight w:val="none"/>
        </w:rPr>
        <w:t>版）</w:t>
      </w:r>
    </w:p>
    <w:p>
      <w:pPr>
        <w:spacing w:line="360" w:lineRule="auto"/>
        <w:jc w:val="right"/>
        <w:rPr>
          <w:rFonts w:hint="eastAsia" w:ascii="宋体" w:hAnsi="宋体" w:cs="宋体"/>
          <w:bCs/>
          <w:color w:val="000000"/>
          <w:sz w:val="24"/>
          <w:highlight w:val="none"/>
        </w:rPr>
      </w:pPr>
      <w:r>
        <w:rPr>
          <w:rFonts w:hint="eastAsia" w:ascii="宋体" w:hAnsi="宋体" w:cs="宋体"/>
          <w:color w:val="000000"/>
          <w:sz w:val="24"/>
          <w:highlight w:val="none"/>
        </w:rPr>
        <w:t>备案编号:</w:t>
      </w:r>
      <w:r>
        <w:rPr>
          <w:rFonts w:hint="eastAsia" w:ascii="宋体" w:hAnsi="宋体" w:cs="宋体"/>
          <w:bCs/>
          <w:color w:val="000000"/>
          <w:sz w:val="24"/>
          <w:highlight w:val="none"/>
        </w:rPr>
        <w:t>〖</w:t>
      </w:r>
      <w:r>
        <w:rPr>
          <w:rFonts w:hint="eastAsia" w:ascii="宋体" w:hAnsi="宋体" w:eastAsia="宋体" w:cs="宋体"/>
          <w:bCs/>
          <w:color w:val="000000"/>
          <w:kern w:val="2"/>
          <w:sz w:val="24"/>
          <w:szCs w:val="24"/>
          <w:highlight w:val="none"/>
          <w:lang w:val="en-US" w:eastAsia="zh-CN" w:bidi="ar-SA"/>
        </w:rPr>
        <w:t>Z7002226000310</w:t>
      </w:r>
      <w:r>
        <w:rPr>
          <w:rFonts w:hint="eastAsia" w:ascii="宋体" w:hAnsi="宋体" w:cs="宋体"/>
          <w:bCs/>
          <w:color w:val="000000"/>
          <w:sz w:val="24"/>
          <w:highlight w:val="none"/>
        </w:rPr>
        <w:t>〗</w:t>
      </w:r>
    </w:p>
    <w:p>
      <w:pPr>
        <w:spacing w:line="360" w:lineRule="auto"/>
        <w:jc w:val="center"/>
        <w:rPr>
          <w:rFonts w:hint="eastAsia" w:ascii="宋体" w:hAnsi="宋体" w:cs="宋体"/>
          <w:bCs/>
          <w:color w:val="000000"/>
          <w:sz w:val="24"/>
          <w:highlight w:val="none"/>
        </w:rPr>
      </w:pPr>
    </w:p>
    <w:p>
      <w:pPr>
        <w:numPr>
          <w:ilvl w:val="0"/>
          <w:numId w:val="1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重要须知</w:t>
      </w:r>
    </w:p>
    <w:p>
      <w:pPr>
        <w:numPr>
          <w:ilvl w:val="0"/>
          <w:numId w:val="1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本理财计划不等同于银行存款、预期收益型理财产品或其他产品。</w:t>
      </w:r>
    </w:p>
    <w:p>
      <w:pPr>
        <w:numPr>
          <w:ilvl w:val="0"/>
          <w:numId w:val="1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本理财计划仅向依据中华人民共和国有关法律法规及本理财计划产品说明书规定可以购买本理财计划的投资者发售。</w:t>
      </w:r>
    </w:p>
    <w:p>
      <w:pPr>
        <w:numPr>
          <w:ilvl w:val="0"/>
          <w:numId w:val="1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2"/>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本理财计划是非保本净值型产品。管理人对本理财计划的本金和收益不提供保证承诺。</w:t>
      </w:r>
      <w:r>
        <w:rPr>
          <w:rFonts w:hint="eastAsia" w:ascii="宋体" w:hAnsi="宋体" w:cs="宋体"/>
          <w:bCs/>
          <w:color w:val="000000"/>
          <w:sz w:val="24"/>
          <w:highlight w:val="none"/>
        </w:rPr>
        <w:t>本理财计划主要风险为理财本金及收益风险，在极端市场情况下，投资者将损失本金，请投资者基于自身的独立判断进行投资决策。</w:t>
      </w:r>
    </w:p>
    <w:p>
      <w:pPr>
        <w:numPr>
          <w:ilvl w:val="0"/>
          <w:numId w:val="1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投资协议书》《风险揭示书》《投资者权益须知》</w:t>
      </w:r>
      <w:r>
        <w:rPr>
          <w:rFonts w:hint="eastAsia" w:ascii="宋体" w:hAnsi="宋体" w:cs="宋体"/>
          <w:bCs/>
          <w:color w:val="000000"/>
          <w:sz w:val="24"/>
          <w:highlight w:val="none"/>
          <w:lang w:eastAsia="zh-CN"/>
        </w:rPr>
        <w:t>《理财计划销售协议书》</w:t>
      </w:r>
      <w:r>
        <w:rPr>
          <w:rFonts w:hint="eastAsia" w:ascii="宋体" w:hAnsi="宋体" w:cs="宋体"/>
          <w:bCs/>
          <w:color w:val="000000"/>
          <w:sz w:val="24"/>
          <w:highlight w:val="none"/>
        </w:rPr>
        <w:t>，将共同构成投资者与管理人之间的理财计划</w:t>
      </w:r>
      <w:r>
        <w:rPr>
          <w:rFonts w:hint="eastAsia" w:ascii="宋体" w:hAnsi="宋体" w:cs="宋体"/>
          <w:bCs/>
          <w:color w:val="000000"/>
          <w:sz w:val="24"/>
          <w:highlight w:val="none"/>
          <w:lang w:val="en-US" w:eastAsia="zh-CN"/>
        </w:rPr>
        <w:t>销售文件</w:t>
      </w:r>
      <w:r>
        <w:rPr>
          <w:rFonts w:hint="eastAsia" w:ascii="宋体" w:hAnsi="宋体" w:cs="宋体"/>
          <w:bCs/>
          <w:color w:val="000000"/>
          <w:sz w:val="24"/>
          <w:highlight w:val="none"/>
        </w:rPr>
        <w:t>。</w:t>
      </w:r>
    </w:p>
    <w:p>
      <w:pPr>
        <w:numPr>
          <w:ilvl w:val="0"/>
          <w:numId w:val="1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本理财计划的任何业绩比较基准等类似表述均不具有法律约束性，不代表投资者可能获得的实际收益，不构成管理人对于本理财计划的任何收益承诺。</w:t>
      </w:r>
    </w:p>
    <w:p>
      <w:pPr>
        <w:numPr>
          <w:ilvl w:val="0"/>
          <w:numId w:val="1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在本理财计划存续期内，如因监管政策或法律法规发生变化，在不损害投资者利益的前提下，管理人有权对</w:t>
      </w:r>
      <w:r>
        <w:rPr>
          <w:rFonts w:hint="eastAsia" w:ascii="宋体" w:hAnsi="宋体" w:cs="宋体"/>
          <w:bCs/>
          <w:color w:val="000000"/>
          <w:sz w:val="24"/>
          <w:highlight w:val="none"/>
          <w:lang w:val="en-US" w:eastAsia="zh-CN"/>
        </w:rPr>
        <w:t>因上述变化导致的</w:t>
      </w:r>
      <w:r>
        <w:rPr>
          <w:rFonts w:hint="eastAsia" w:ascii="宋体" w:hAnsi="宋体" w:cs="宋体"/>
          <w:bCs/>
          <w:color w:val="000000"/>
          <w:sz w:val="24"/>
          <w:highlight w:val="none"/>
        </w:rPr>
        <w:t>本理财计划说明书条款</w:t>
      </w:r>
      <w:r>
        <w:rPr>
          <w:rFonts w:hint="eastAsia" w:ascii="宋体" w:hAnsi="宋体" w:cs="宋体"/>
          <w:bCs/>
          <w:color w:val="000000"/>
          <w:sz w:val="24"/>
          <w:highlight w:val="none"/>
          <w:lang w:val="en-US" w:eastAsia="zh-CN"/>
        </w:rPr>
        <w:t>变化</w:t>
      </w:r>
      <w:r>
        <w:rPr>
          <w:rFonts w:hint="eastAsia" w:ascii="宋体" w:hAnsi="宋体" w:cs="宋体"/>
          <w:bCs/>
          <w:color w:val="000000"/>
          <w:sz w:val="24"/>
          <w:highlight w:val="none"/>
        </w:rPr>
        <w:t>进行修订。</w:t>
      </w:r>
    </w:p>
    <w:p>
      <w:pPr>
        <w:numPr>
          <w:ilvl w:val="0"/>
          <w:numId w:val="1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管理人承诺以诚实守信、勤勉尽职的原则，根据本理财计划说明书所载要求管理和运用理财计划资产。</w:t>
      </w:r>
    </w:p>
    <w:p>
      <w:pPr>
        <w:numPr>
          <w:ilvl w:val="0"/>
          <w:numId w:val="1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管理人有权依法对本理财计划产品说明书进行解释。</w:t>
      </w:r>
    </w:p>
    <w:p>
      <w:pPr>
        <w:spacing w:line="360" w:lineRule="auto"/>
        <w:jc w:val="left"/>
        <w:rPr>
          <w:rFonts w:hint="eastAsia" w:ascii="宋体" w:hAnsi="宋体" w:cs="宋体"/>
          <w:bCs/>
          <w:color w:val="000000"/>
          <w:sz w:val="24"/>
          <w:highlight w:val="none"/>
        </w:rPr>
      </w:pPr>
    </w:p>
    <w:p>
      <w:pPr>
        <w:numPr>
          <w:ilvl w:val="0"/>
          <w:numId w:val="13"/>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释义</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本说明书中，除非另有明确说明，否则下列词语或简称具有如下含义：</w:t>
      </w:r>
    </w:p>
    <w:p>
      <w:pPr>
        <w:pStyle w:val="17"/>
        <w:numPr>
          <w:ilvl w:val="0"/>
          <w:numId w:val="14"/>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参与主体用语</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理财计划管理人/产品管理人/管理人/本公司：</w:t>
      </w:r>
      <w:r>
        <w:rPr>
          <w:rFonts w:hint="eastAsia" w:ascii="宋体" w:hAnsi="宋体" w:cs="宋体"/>
          <w:bCs/>
          <w:color w:val="000000"/>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000000"/>
          <w:kern w:val="2"/>
          <w:highlight w:val="none"/>
          <w:lang w:eastAsia="zh-CN"/>
        </w:rPr>
        <w:t>。杭银理财有限责任公司简称杭银理财，官网网站为</w:t>
      </w:r>
      <w:r>
        <w:rPr>
          <w:rFonts w:hint="eastAsia" w:ascii="宋体" w:hAnsi="宋体" w:cs="宋体"/>
          <w:bCs/>
          <w:color w:val="000000"/>
          <w:kern w:val="2"/>
          <w:highlight w:val="none"/>
          <w:u w:val="none"/>
          <w:lang w:val="en-US" w:eastAsia="zh-CN"/>
        </w:rPr>
        <w:t>https://</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w:t>
      </w:r>
      <w:r>
        <w:rPr>
          <w:rFonts w:hint="eastAsia" w:ascii="宋体" w:hAnsi="宋体" w:cs="宋体"/>
          <w:bCs/>
          <w:color w:val="000000"/>
          <w:kern w:val="2"/>
          <w:highlight w:val="none"/>
          <w:u w:val="none"/>
          <w:lang w:val="en-US" w:eastAsia="zh-CN"/>
        </w:rPr>
        <w:t>wealth</w:t>
      </w:r>
      <w:r>
        <w:rPr>
          <w:rFonts w:hint="eastAsia" w:ascii="宋体" w:hAnsi="宋体" w:cs="宋体"/>
          <w:bCs/>
          <w:color w:val="000000"/>
          <w:kern w:val="2"/>
          <w:highlight w:val="none"/>
          <w:u w:val="none"/>
        </w:rPr>
        <w:t>.com.cn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u w:val="none"/>
          <w:lang w:eastAsia="zh-CN"/>
        </w:rPr>
        <w:t>，</w:t>
      </w:r>
      <w:r>
        <w:rPr>
          <w:rFonts w:hint="eastAsia" w:ascii="宋体" w:hAnsi="宋体" w:cs="宋体"/>
          <w:bCs/>
          <w:color w:val="000000"/>
          <w:kern w:val="2"/>
          <w:highlight w:val="none"/>
          <w:u w:val="none"/>
          <w:lang w:val="en-US" w:eastAsia="zh-CN"/>
        </w:rPr>
        <w:t>客服电话400-8950-999</w:t>
      </w:r>
      <w:r>
        <w:rPr>
          <w:rFonts w:hint="eastAsia" w:ascii="宋体" w:hAnsi="宋体" w:cs="宋体"/>
          <w:bCs/>
          <w:color w:val="000000"/>
          <w:kern w:val="2"/>
          <w:highlight w:val="none"/>
          <w:u w:val="none"/>
        </w:rPr>
        <w:t>。</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理财计划托管人/产品托管人/托管人：</w:t>
      </w:r>
      <w:r>
        <w:rPr>
          <w:rFonts w:hint="eastAsia" w:ascii="宋体" w:hAnsi="宋体" w:cs="宋体"/>
          <w:bCs/>
          <w:color w:val="000000"/>
          <w:kern w:val="2"/>
          <w:highlight w:val="none"/>
        </w:rPr>
        <w:t>指</w:t>
      </w:r>
      <w:r>
        <w:rPr>
          <w:rFonts w:hint="eastAsia" w:ascii="宋体" w:hAnsi="宋体" w:cs="宋体"/>
          <w:color w:val="000000"/>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color w:val="000000"/>
          <w:sz w:val="24"/>
          <w:szCs w:val="24"/>
          <w:highlight w:val="none"/>
        </w:rPr>
        <w:t>〗</w:t>
      </w:r>
      <w:r>
        <w:rPr>
          <w:rFonts w:hint="eastAsia" w:ascii="宋体" w:hAnsi="宋体" w:cs="宋体"/>
          <w:bCs/>
          <w:color w:val="000000"/>
          <w:kern w:val="2"/>
          <w:highlight w:val="none"/>
        </w:rPr>
        <w:t>。</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认购人：</w:t>
      </w:r>
      <w:r>
        <w:rPr>
          <w:rFonts w:hint="eastAsia" w:ascii="宋体" w:hAnsi="宋体" w:cs="宋体"/>
          <w:bCs/>
          <w:color w:val="000000"/>
          <w:kern w:val="2"/>
          <w:highlight w:val="none"/>
        </w:rPr>
        <w:t>指在理财计划认购期间签署理财计划合同并向理财计划管理人交付认购资金的个人、机构投资者。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理财计划份额持有人/持有人：</w:t>
      </w:r>
      <w:r>
        <w:rPr>
          <w:rFonts w:hint="eastAsia" w:ascii="宋体" w:hAnsi="宋体" w:cs="宋体"/>
          <w:bCs/>
          <w:color w:val="000000"/>
          <w:kern w:val="2"/>
          <w:highlight w:val="none"/>
        </w:rPr>
        <w:t>指认购/申购申请后，经过管理人确认成功后，从而持有理财计划份额的投资者。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监管机构：</w:t>
      </w:r>
      <w:r>
        <w:rPr>
          <w:rFonts w:hint="eastAsia" w:ascii="宋体" w:hAnsi="宋体" w:cs="宋体"/>
          <w:bCs/>
          <w:color w:val="000000"/>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000000"/>
          <w:kern w:val="2"/>
          <w:highlight w:val="none"/>
          <w:lang w:eastAsia="zh-CN"/>
        </w:rPr>
        <w:t>国家金融监督管理总局</w:t>
      </w:r>
      <w:r>
        <w:rPr>
          <w:rFonts w:hint="eastAsia" w:ascii="宋体" w:hAnsi="宋体" w:cs="宋体"/>
          <w:bCs/>
          <w:color w:val="000000"/>
          <w:kern w:val="2"/>
          <w:highlight w:val="none"/>
        </w:rPr>
        <w:t>、中国证券监督管理委员会、外汇管理局、银行业理财登记托管中心等。</w:t>
      </w:r>
    </w:p>
    <w:p>
      <w:pPr>
        <w:pStyle w:val="17"/>
        <w:numPr>
          <w:ilvl w:val="0"/>
          <w:numId w:val="14"/>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法律文件用语</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说明书/产品说明书：</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幸福99丰裕固收386天26142期理财</w:t>
      </w:r>
      <w:r>
        <w:rPr>
          <w:rFonts w:hint="eastAsia" w:ascii="宋体" w:hAnsi="宋体" w:cs="宋体"/>
          <w:bCs/>
          <w:color w:val="000000"/>
          <w:highlight w:val="none"/>
        </w:rPr>
        <w:t>产品说明书</w:t>
      </w:r>
      <w:r>
        <w:rPr>
          <w:rFonts w:hint="eastAsia" w:ascii="宋体" w:hAnsi="宋体" w:cs="宋体"/>
          <w:bCs/>
          <w:color w:val="000000"/>
          <w:kern w:val="2"/>
          <w:highlight w:val="none"/>
        </w:rPr>
        <w:t>》，以及对该文件的有效修改与补充。</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风险揭示书：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幸福99丰裕固收386天26142期理财</w:t>
      </w:r>
      <w:r>
        <w:rPr>
          <w:rFonts w:hint="eastAsia" w:ascii="宋体" w:hAnsi="宋体" w:cs="宋体"/>
          <w:bCs/>
          <w:color w:val="000000"/>
          <w:highlight w:val="none"/>
        </w:rPr>
        <w:t>合同不可分割组成部分的风险揭示书，</w:t>
      </w:r>
      <w:r>
        <w:rPr>
          <w:rFonts w:hint="eastAsia" w:ascii="宋体" w:hAnsi="宋体" w:cs="宋体"/>
          <w:bCs/>
          <w:color w:val="000000"/>
          <w:kern w:val="2"/>
          <w:highlight w:val="none"/>
        </w:rPr>
        <w:t>以及对该文件的有效修改与补充。</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投资者权益须知：</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幸福99丰裕固收386天26142期理财</w:t>
      </w:r>
      <w:r>
        <w:rPr>
          <w:rFonts w:hint="eastAsia" w:ascii="宋体" w:hAnsi="宋体" w:cs="宋体"/>
          <w:bCs/>
          <w:color w:val="000000"/>
          <w:highlight w:val="none"/>
        </w:rPr>
        <w:t>合同不可分割组成部分的投资者权益须知，</w:t>
      </w:r>
      <w:r>
        <w:rPr>
          <w:rFonts w:hint="eastAsia" w:ascii="宋体" w:hAnsi="宋体" w:cs="宋体"/>
          <w:bCs/>
          <w:color w:val="000000"/>
          <w:kern w:val="2"/>
          <w:highlight w:val="none"/>
        </w:rPr>
        <w:t>以及对该文件的有效修改与补充。</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投资协议书：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幸福99丰裕固收386天26142期理财</w:t>
      </w:r>
      <w:r>
        <w:rPr>
          <w:rFonts w:hint="eastAsia" w:ascii="宋体" w:hAnsi="宋体" w:cs="宋体"/>
          <w:bCs/>
          <w:color w:val="000000"/>
          <w:highlight w:val="none"/>
        </w:rPr>
        <w:t>合同不可分割组成部分的理财计划投资协议书，</w:t>
      </w:r>
      <w:r>
        <w:rPr>
          <w:rFonts w:hint="eastAsia" w:ascii="宋体" w:hAnsi="宋体" w:cs="宋体"/>
          <w:bCs/>
          <w:color w:val="000000"/>
          <w:kern w:val="2"/>
          <w:highlight w:val="none"/>
        </w:rPr>
        <w:t>以及对该文件的有效修改与补充。</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kern w:val="2"/>
          <w:highlight w:val="none"/>
          <w:lang w:eastAsia="zh-CN"/>
        </w:rPr>
        <w:t>理财</w:t>
      </w:r>
      <w:r>
        <w:rPr>
          <w:rFonts w:hint="eastAsia" w:ascii="宋体" w:hAnsi="宋体" w:cs="宋体"/>
          <w:b/>
          <w:bCs w:val="0"/>
          <w:color w:val="000000"/>
          <w:kern w:val="2"/>
          <w:highlight w:val="none"/>
          <w:lang w:val="en-US" w:eastAsia="zh-CN"/>
        </w:rPr>
        <w:t>计划</w:t>
      </w:r>
      <w:r>
        <w:rPr>
          <w:rFonts w:hint="eastAsia" w:ascii="宋体" w:hAnsi="宋体" w:cs="宋体"/>
          <w:b/>
          <w:bCs w:val="0"/>
          <w:color w:val="000000"/>
          <w:kern w:val="2"/>
          <w:highlight w:val="none"/>
          <w:lang w:eastAsia="zh-CN"/>
        </w:rPr>
        <w:t>销售协议书：</w:t>
      </w:r>
      <w:r>
        <w:rPr>
          <w:rFonts w:hint="eastAsia" w:ascii="宋体" w:hAnsi="宋体" w:cs="宋体"/>
          <w:bCs/>
          <w:color w:val="000000"/>
          <w:kern w:val="2"/>
          <w:highlight w:val="none"/>
          <w:lang w:eastAsia="zh-CN"/>
        </w:rPr>
        <w:t>指作为</w:t>
      </w:r>
      <w:r>
        <w:rPr>
          <w:rFonts w:hint="eastAsia" w:ascii="宋体" w:hAnsi="宋体" w:eastAsia="宋体" w:cs="宋体"/>
          <w:bCs/>
          <w:color w:val="000000"/>
          <w:kern w:val="2"/>
          <w:sz w:val="24"/>
          <w:szCs w:val="24"/>
          <w:highlight w:val="none"/>
          <w:lang w:val="en-US" w:eastAsia="zh-CN" w:bidi="ar-SA"/>
        </w:rPr>
        <w:t>幸福99丰裕固收386天26142期理财</w:t>
      </w:r>
      <w:r>
        <w:rPr>
          <w:rFonts w:hint="eastAsia" w:ascii="宋体" w:hAnsi="宋体" w:cs="宋体"/>
          <w:bCs/>
          <w:color w:val="000000"/>
          <w:kern w:val="2"/>
          <w:highlight w:val="none"/>
          <w:lang w:val="en-US" w:eastAsia="zh-CN"/>
        </w:rPr>
        <w:t>合同不可分割组成部分的理财计划销售协议书，以及对该文件的有效修改与补充。</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合同/销售文件：</w:t>
      </w:r>
      <w:r>
        <w:rPr>
          <w:rFonts w:hint="eastAsia" w:ascii="宋体" w:hAnsi="宋体" w:cs="宋体"/>
          <w:bCs/>
          <w:color w:val="000000"/>
          <w:kern w:val="2"/>
          <w:highlight w:val="none"/>
        </w:rPr>
        <w:t>指《理财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风险揭示书</w:t>
      </w:r>
      <w:r>
        <w:rPr>
          <w:rFonts w:hint="eastAsia" w:ascii="宋体" w:hAnsi="宋体" w:cs="宋体"/>
          <w:bCs/>
          <w:color w:val="000000"/>
          <w:kern w:val="2"/>
          <w:highlight w:val="none"/>
        </w:rPr>
        <w:t>》《</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产品说明</w:t>
      </w:r>
      <w:r>
        <w:rPr>
          <w:rFonts w:hint="eastAsia" w:ascii="宋体" w:hAnsi="宋体" w:cs="宋体"/>
          <w:bCs/>
          <w:color w:val="000000"/>
          <w:kern w:val="2"/>
          <w:highlight w:val="none"/>
        </w:rPr>
        <w:t>书》《投资者权益须知》《理财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rPr>
        <w:t>投资协议书》</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销售协议书》五</w:t>
      </w:r>
      <w:r>
        <w:rPr>
          <w:rFonts w:hint="eastAsia" w:ascii="宋体" w:hAnsi="宋体" w:cs="宋体"/>
          <w:bCs/>
          <w:color w:val="000000"/>
          <w:kern w:val="2"/>
          <w:highlight w:val="none"/>
        </w:rPr>
        <w:t>个部分。</w:t>
      </w:r>
    </w:p>
    <w:p>
      <w:pPr>
        <w:pStyle w:val="17"/>
        <w:numPr>
          <w:ilvl w:val="0"/>
          <w:numId w:val="14"/>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理财产品用语</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理财计划/理财产品/产品：</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幸福99丰裕固收386天26142期理财</w:t>
      </w:r>
      <w:r>
        <w:rPr>
          <w:rFonts w:hint="eastAsia" w:ascii="宋体" w:hAnsi="宋体" w:cs="宋体"/>
          <w:bCs/>
          <w:color w:val="000000"/>
          <w:highlight w:val="none"/>
        </w:rPr>
        <w:t>。</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理财计划份额/产品份额：</w:t>
      </w:r>
      <w:r>
        <w:rPr>
          <w:rFonts w:hint="eastAsia" w:ascii="宋体" w:hAnsi="宋体" w:cs="宋体"/>
          <w:bCs/>
          <w:color w:val="000000"/>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理财计划份额净值/产品份额净值：</w:t>
      </w:r>
      <w:r>
        <w:rPr>
          <w:rFonts w:hint="eastAsia" w:ascii="宋体" w:hAnsi="宋体" w:cs="宋体"/>
          <w:bCs/>
          <w:color w:val="000000"/>
          <w:highlight w:val="none"/>
        </w:rPr>
        <w:t>指理财计划份额的单位净值，即每1份理财计划份额以人民币或外币（以产品说明书交易币种为准）计价的价格。</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理财计划份额累计净值/产品份额累计净值：</w:t>
      </w:r>
      <w:r>
        <w:rPr>
          <w:rFonts w:hint="eastAsia" w:ascii="宋体" w:hAnsi="宋体" w:cs="宋体"/>
          <w:bCs/>
          <w:color w:val="000000"/>
          <w:highlight w:val="none"/>
        </w:rPr>
        <w:t>指理财计划份额的单位净值与理财计划成立后历次累计单位收益分配的总和。</w:t>
      </w:r>
    </w:p>
    <w:p>
      <w:pPr>
        <w:pStyle w:val="17"/>
        <w:numPr>
          <w:ilvl w:val="0"/>
          <w:numId w:val="17"/>
        </w:numPr>
        <w:adjustRightInd/>
        <w:spacing w:line="360" w:lineRule="auto"/>
        <w:rPr>
          <w:rFonts w:hint="eastAsia" w:ascii="宋体" w:hAnsi="宋体" w:cs="宋体"/>
          <w:b/>
          <w:color w:val="000000"/>
          <w:highlight w:val="none"/>
        </w:rPr>
      </w:pPr>
      <w:r>
        <w:rPr>
          <w:rFonts w:hint="eastAsia" w:ascii="宋体" w:hAnsi="宋体" w:cs="宋体"/>
          <w:b/>
          <w:color w:val="000000"/>
          <w:highlight w:val="none"/>
        </w:rPr>
        <w:t>工作日：</w:t>
      </w:r>
      <w:r>
        <w:rPr>
          <w:rFonts w:hint="eastAsia" w:ascii="宋体" w:hAnsi="宋体" w:cs="宋体"/>
          <w:bCs/>
          <w:color w:val="000000"/>
          <w:highlight w:val="none"/>
        </w:rPr>
        <w:t>指除国家法定节假日和休息日外的日期。</w:t>
      </w:r>
    </w:p>
    <w:p>
      <w:pPr>
        <w:pStyle w:val="17"/>
        <w:numPr>
          <w:ilvl w:val="0"/>
          <w:numId w:val="17"/>
        </w:numPr>
        <w:adjustRightInd/>
        <w:spacing w:line="360" w:lineRule="auto"/>
        <w:ind w:firstLine="482" w:firstLineChars="200"/>
        <w:rPr>
          <w:rFonts w:hint="eastAsia" w:ascii="宋体" w:hAnsi="宋体" w:cs="宋体"/>
          <w:b/>
          <w:color w:val="000000"/>
          <w:highlight w:val="none"/>
        </w:rPr>
      </w:pPr>
      <w:r>
        <w:rPr>
          <w:rFonts w:hint="eastAsia" w:ascii="宋体" w:hAnsi="宋体" w:cs="宋体"/>
          <w:b/>
          <w:color w:val="000000"/>
          <w:highlight w:val="none"/>
        </w:rPr>
        <w:t>交易日：</w:t>
      </w:r>
      <w:r>
        <w:rPr>
          <w:rFonts w:hint="eastAsia" w:ascii="宋体" w:hAnsi="宋体" w:cs="宋体"/>
          <w:bCs/>
          <w:color w:val="000000"/>
          <w:highlight w:val="none"/>
        </w:rPr>
        <w:t>指</w:t>
      </w:r>
      <w:r>
        <w:rPr>
          <w:rFonts w:hint="eastAsia" w:ascii="宋体" w:hAnsi="宋体" w:cs="宋体"/>
          <w:color w:val="000000"/>
          <w:szCs w:val="21"/>
          <w:highlight w:val="none"/>
        </w:rPr>
        <w:t>〖</w:t>
      </w:r>
      <w:r>
        <w:rPr>
          <w:rFonts w:hint="eastAsia" w:ascii="宋体" w:hAnsi="宋体" w:cs="宋体"/>
          <w:bCs/>
          <w:color w:val="000000"/>
          <w:highlight w:val="none"/>
        </w:rPr>
        <w:t>上海证券交易所、深圳证券交易所</w:t>
      </w:r>
      <w:r>
        <w:rPr>
          <w:rFonts w:hint="eastAsia" w:ascii="宋体" w:hAnsi="宋体" w:cs="宋体"/>
          <w:color w:val="000000"/>
          <w:szCs w:val="21"/>
          <w:highlight w:val="none"/>
        </w:rPr>
        <w:t>〗</w:t>
      </w:r>
      <w:r>
        <w:rPr>
          <w:rFonts w:hint="eastAsia" w:ascii="宋体" w:hAnsi="宋体" w:cs="宋体"/>
          <w:bCs/>
          <w:color w:val="000000"/>
          <w:highlight w:val="none"/>
        </w:rPr>
        <w:t>的正常交易日。</w:t>
      </w:r>
      <w:r>
        <w:rPr>
          <w:rFonts w:hint="eastAsia" w:ascii="宋体" w:hAnsi="宋体" w:cs="宋体"/>
          <w:bCs/>
          <w:color w:val="000000"/>
          <w:highlight w:val="none"/>
          <w:lang w:val="en-US" w:eastAsia="zh-CN"/>
        </w:rPr>
        <w:t>如涉及到监管条例部分，统一以监管条例表述替代。</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成立日：</w:t>
      </w:r>
      <w:r>
        <w:rPr>
          <w:rFonts w:hint="eastAsia" w:ascii="宋体" w:hAnsi="宋体" w:cs="宋体"/>
          <w:bCs/>
          <w:color w:val="000000"/>
          <w:highlight w:val="none"/>
        </w:rPr>
        <w:t>指理财计划完成首次募集发行后正式成立运作日。</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认购期：</w:t>
      </w:r>
      <w:r>
        <w:rPr>
          <w:rFonts w:hint="eastAsia" w:ascii="宋体" w:hAnsi="宋体" w:cs="宋体"/>
          <w:bCs/>
          <w:color w:val="000000"/>
          <w:kern w:val="2"/>
          <w:highlight w:val="none"/>
        </w:rPr>
        <w:t>指理财计划成立前，理财计划管理人接受理财计划认购的时间。</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封闭期：</w:t>
      </w:r>
      <w:r>
        <w:rPr>
          <w:rFonts w:hint="eastAsia" w:ascii="宋体" w:hAnsi="宋体" w:cs="宋体"/>
          <w:bCs/>
          <w:color w:val="000000"/>
          <w:kern w:val="2"/>
          <w:highlight w:val="none"/>
        </w:rPr>
        <w:t>指理财</w:t>
      </w:r>
      <w:r>
        <w:rPr>
          <w:rFonts w:hint="eastAsia" w:ascii="宋体" w:hAnsi="宋体" w:cs="宋体"/>
          <w:bCs/>
          <w:color w:val="000000"/>
          <w:kern w:val="2"/>
          <w:highlight w:val="none"/>
          <w:lang w:eastAsia="zh-CN"/>
        </w:rPr>
        <w:t>计划</w:t>
      </w:r>
      <w:r>
        <w:rPr>
          <w:rFonts w:hint="eastAsia" w:ascii="宋体" w:hAnsi="宋体" w:cs="宋体"/>
          <w:bCs/>
          <w:color w:val="000000"/>
          <w:kern w:val="2"/>
          <w:highlight w:val="none"/>
        </w:rPr>
        <w:t>成立后，理财计划不接受投资者申购赎回的时间。</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建仓期：</w:t>
      </w:r>
      <w:r>
        <w:rPr>
          <w:rFonts w:hint="eastAsia" w:ascii="宋体" w:hAnsi="宋体" w:cs="宋体"/>
          <w:bCs/>
          <w:color w:val="000000"/>
          <w:kern w:val="2"/>
          <w:highlight w:val="none"/>
        </w:rPr>
        <w:t>指理财计划成立后，在一定期限内投资比例无法满足本理财计划约定的投资比例要求。</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到期日：</w:t>
      </w:r>
      <w:r>
        <w:rPr>
          <w:rFonts w:hint="eastAsia" w:ascii="宋体" w:hAnsi="宋体" w:cs="宋体"/>
          <w:bCs/>
          <w:color w:val="000000"/>
          <w:kern w:val="2"/>
          <w:highlight w:val="none"/>
        </w:rPr>
        <w:t>指理财计划终止运作的日期。</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收益分配基准日：</w:t>
      </w:r>
      <w:r>
        <w:rPr>
          <w:rFonts w:hint="eastAsia" w:ascii="宋体" w:hAnsi="宋体" w:cs="宋体"/>
          <w:bCs/>
          <w:color w:val="000000"/>
          <w:kern w:val="2"/>
          <w:highlight w:val="none"/>
        </w:rPr>
        <w:t>指理财计划进行收益分配时用以确认分配收益金额的最终确认日期。</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节假日临时调整：</w:t>
      </w:r>
      <w:r>
        <w:rPr>
          <w:rFonts w:hint="eastAsia" w:ascii="宋体" w:hAnsi="宋体" w:cs="宋体"/>
          <w:bCs/>
          <w:color w:val="000000"/>
          <w:kern w:val="2"/>
          <w:highlight w:val="none"/>
        </w:rPr>
        <w:t>如因国家相关主管部门临时调整节假日安排，导致原定成立日、到期日、估值日等日期安排发生变化的，原则上采用顺延方式对原定日期进行调整，如有特殊安排，以管理人对外披露的公告为准。</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提前终止权：</w:t>
      </w:r>
      <w:r>
        <w:rPr>
          <w:rFonts w:hint="eastAsia" w:ascii="宋体" w:hAnsi="宋体" w:cs="宋体"/>
          <w:bCs/>
          <w:color w:val="000000"/>
          <w:highlight w:val="none"/>
        </w:rPr>
        <w:t>指在本理财计划存续期内，管理人决定全部提前终止本理财计划的权利。</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提前终止日：</w:t>
      </w:r>
      <w:r>
        <w:rPr>
          <w:rFonts w:hint="eastAsia" w:ascii="宋体" w:hAnsi="宋体" w:cs="宋体"/>
          <w:bCs/>
          <w:color w:val="000000"/>
          <w:kern w:val="2"/>
          <w:highlight w:val="none"/>
        </w:rPr>
        <w:t>指</w:t>
      </w:r>
      <w:r>
        <w:rPr>
          <w:rFonts w:hint="eastAsia" w:ascii="宋体" w:hAnsi="宋体" w:cs="宋体"/>
          <w:bCs/>
          <w:color w:val="000000"/>
          <w:highlight w:val="none"/>
        </w:rPr>
        <w:t>管理人行使提前终止权的日期，即本理财计划被提前终止、开始停止计算收益的日期。</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资金到账日：</w:t>
      </w:r>
      <w:r>
        <w:rPr>
          <w:rFonts w:hint="eastAsia" w:ascii="宋体" w:hAnsi="宋体" w:cs="宋体"/>
          <w:bCs/>
          <w:color w:val="000000"/>
          <w:highlight w:val="none"/>
        </w:rPr>
        <w:t>指理财计划终止运作后，资金返还至投资者账户的日期。</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w:t>
      </w:r>
      <w:r>
        <w:rPr>
          <w:rFonts w:hint="eastAsia" w:ascii="宋体" w:hAnsi="宋体" w:cs="宋体"/>
          <w:bCs/>
          <w:color w:val="000000"/>
          <w:kern w:val="2"/>
          <w:highlight w:val="none"/>
        </w:rPr>
        <w:t>指投资者根据理财计划约定申请购买本理财计划份额的行为。</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w:t>
      </w:r>
      <w:r>
        <w:rPr>
          <w:rFonts w:hint="eastAsia" w:ascii="宋体" w:hAnsi="宋体" w:cs="宋体"/>
          <w:bCs/>
          <w:color w:val="000000"/>
          <w:kern w:val="2"/>
          <w:highlight w:val="none"/>
        </w:rPr>
        <w:t>指管理人在满足收益分配基准日理财计划份额净值大于1元的情况下，定期或不定期将大于1元部分的收益进行全部或部分分配的行为。</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理财计划费用/产品费用：</w:t>
      </w:r>
      <w:r>
        <w:rPr>
          <w:rFonts w:hint="eastAsia" w:ascii="宋体" w:hAnsi="宋体" w:cs="宋体"/>
          <w:bCs/>
          <w:color w:val="000000"/>
          <w:highlight w:val="none"/>
        </w:rPr>
        <w:t>指管理人为成立理财计划及处理理财计划事务而支出的所有费用，包括但不限于管理人收取的固定管理费、浮动管理费、</w:t>
      </w:r>
      <w:r>
        <w:rPr>
          <w:rFonts w:hint="eastAsia" w:ascii="宋体" w:hAnsi="宋体" w:cs="宋体"/>
          <w:bCs/>
          <w:color w:val="000000"/>
          <w:highlight w:val="none"/>
          <w:lang w:eastAsia="zh-CN"/>
        </w:rPr>
        <w:t>销售服务费</w:t>
      </w:r>
      <w:r>
        <w:rPr>
          <w:rFonts w:hint="eastAsia" w:ascii="宋体" w:hAnsi="宋体" w:cs="宋体"/>
          <w:bCs/>
          <w:color w:val="000000"/>
          <w:highlight w:val="none"/>
        </w:rPr>
        <w:t>、托管人收取的托管费、交易费用、执行费用等相关费用，具体以</w:t>
      </w:r>
      <w:r>
        <w:rPr>
          <w:rFonts w:hint="eastAsia" w:ascii="宋体" w:hAnsi="宋体" w:cs="宋体"/>
          <w:bCs/>
          <w:color w:val="000000"/>
          <w:highlight w:val="none"/>
          <w:lang w:eastAsia="zh-CN"/>
        </w:rPr>
        <w:t>实际发生</w:t>
      </w:r>
      <w:r>
        <w:rPr>
          <w:rFonts w:hint="eastAsia" w:ascii="宋体" w:hAnsi="宋体" w:cs="宋体"/>
          <w:bCs/>
          <w:color w:val="000000"/>
          <w:highlight w:val="none"/>
        </w:rPr>
        <w:t>为准。</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highlight w:val="none"/>
          <w:lang w:eastAsia="zh-CN"/>
        </w:rPr>
        <w:t>其他费用：</w:t>
      </w:r>
      <w:r>
        <w:rPr>
          <w:rFonts w:hint="eastAsia" w:ascii="宋体" w:hAnsi="宋体" w:cs="宋体"/>
          <w:b w:val="0"/>
          <w:bCs/>
          <w:color w:val="000000"/>
          <w:highlight w:val="none"/>
          <w:lang w:eastAsia="zh-CN"/>
        </w:rPr>
        <w:t>指除理财计划费用以外，理财计划涉及的其他相关费用，包括但不限于认购费、申购费、赎回费、投顾费等，具体以</w:t>
      </w:r>
      <w:r>
        <w:rPr>
          <w:rFonts w:hint="eastAsia" w:ascii="宋体" w:hAnsi="宋体" w:cs="宋体"/>
          <w:bCs/>
          <w:color w:val="000000"/>
          <w:highlight w:val="none"/>
        </w:rPr>
        <w:t>本说明书第八条约定</w:t>
      </w:r>
      <w:r>
        <w:rPr>
          <w:rFonts w:hint="eastAsia" w:ascii="宋体" w:hAnsi="宋体" w:cs="宋体"/>
          <w:b w:val="0"/>
          <w:bCs/>
          <w:color w:val="000000"/>
          <w:highlight w:val="none"/>
          <w:lang w:eastAsia="zh-CN"/>
        </w:rPr>
        <w:t>为准。</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理财计划估值：</w:t>
      </w:r>
      <w:r>
        <w:rPr>
          <w:rFonts w:hint="eastAsia" w:ascii="宋体" w:hAnsi="宋体" w:cs="宋体"/>
          <w:bCs/>
          <w:color w:val="000000"/>
          <w:highlight w:val="none"/>
        </w:rPr>
        <w:t>指计算评估理财计划资产以确定理财计划份额净值的过程。</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理财业绩比较基准：</w:t>
      </w:r>
      <w:r>
        <w:rPr>
          <w:rFonts w:hint="eastAsia" w:ascii="宋体" w:hAnsi="宋体" w:cs="宋体"/>
          <w:bCs/>
          <w:color w:val="000000"/>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指定账户：</w:t>
      </w:r>
      <w:r>
        <w:rPr>
          <w:rFonts w:hint="eastAsia" w:ascii="宋体" w:hAnsi="宋体" w:cs="宋体"/>
          <w:bCs/>
          <w:color w:val="000000"/>
          <w:kern w:val="2"/>
          <w:highlight w:val="none"/>
        </w:rPr>
        <w:t>指投资者开立的，在理财计划认/申购时指定扣划本金、返还本金或收益的银行账户。</w:t>
      </w:r>
    </w:p>
    <w:p>
      <w:pPr>
        <w:pStyle w:val="17"/>
        <w:numPr>
          <w:ilvl w:val="0"/>
          <w:numId w:val="17"/>
        </w:numPr>
        <w:adjustRightInd/>
        <w:spacing w:line="360" w:lineRule="auto"/>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流动性</w:t>
      </w:r>
      <w:r>
        <w:rPr>
          <w:rFonts w:hint="eastAsia"/>
          <w:b/>
          <w:bCs w:val="0"/>
          <w:color w:val="000000"/>
          <w:highlight w:val="none"/>
          <w:lang w:val="en-US" w:eastAsia="zh-CN"/>
        </w:rPr>
        <w:t>受限资产：</w:t>
      </w:r>
      <w:r>
        <w:rPr>
          <w:rFonts w:hint="eastAsia"/>
          <w:color w:val="000000"/>
          <w:highlight w:val="none"/>
          <w:lang w:val="en-US" w:eastAsia="zh-CN"/>
        </w:rPr>
        <w:t>是指由于法律法规、监管、合同或操作障碍等原因无法以合理价格予以变现的资产，包括到期日在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个交易日以上的逆回购与银行定期存款（含协议约定有条件提前支取的银行存款）、距可赎回日在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7"/>
        </w:numPr>
        <w:adjustRightInd/>
        <w:spacing w:line="360" w:lineRule="auto"/>
        <w:rPr>
          <w:rFonts w:hint="eastAsia" w:ascii="宋体" w:hAnsi="宋体" w:cs="宋体"/>
          <w:b/>
          <w:bCs w:val="0"/>
          <w:color w:val="000000"/>
          <w:kern w:val="2"/>
          <w:highlight w:val="none"/>
        </w:rPr>
      </w:pPr>
      <w:r>
        <w:rPr>
          <w:rFonts w:hint="eastAsia"/>
          <w:b/>
          <w:bCs/>
          <w:color w:val="000000"/>
          <w:highlight w:val="none"/>
          <w:lang w:val="en-US" w:eastAsia="zh-CN"/>
        </w:rPr>
        <w:t>投资退出期：</w:t>
      </w:r>
      <w:r>
        <w:rPr>
          <w:rFonts w:hint="eastAsia" w:ascii="Times New Roman" w:hAnsi="Times New Roman" w:eastAsia="宋体" w:cs="Times New Roman"/>
          <w:color w:val="000000"/>
          <w:highlight w:val="none"/>
          <w:lang w:val="en-US" w:eastAsia="zh-CN"/>
        </w:rPr>
        <w:t>是指理财计划临近到期前，管理人通过资产变现用以进行资金交割清算的准备期。</w:t>
      </w:r>
    </w:p>
    <w:p>
      <w:pPr>
        <w:pStyle w:val="17"/>
        <w:numPr>
          <w:ilvl w:val="0"/>
          <w:numId w:val="14"/>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相关事件用语</w:t>
      </w:r>
    </w:p>
    <w:p>
      <w:pPr>
        <w:pStyle w:val="17"/>
        <w:numPr>
          <w:ilvl w:val="0"/>
          <w:numId w:val="18"/>
        </w:numPr>
        <w:adjustRightInd/>
        <w:spacing w:line="360" w:lineRule="auto"/>
        <w:rPr>
          <w:rFonts w:hint="eastAsia" w:ascii="宋体" w:hAnsi="宋体" w:cs="宋体"/>
          <w:bCs/>
          <w:color w:val="000000"/>
          <w:kern w:val="2"/>
          <w:highlight w:val="none"/>
        </w:rPr>
      </w:pPr>
      <w:r>
        <w:rPr>
          <w:rFonts w:hint="eastAsia" w:ascii="宋体" w:hAnsi="宋体" w:cs="宋体"/>
          <w:b/>
          <w:color w:val="000000"/>
          <w:kern w:val="2"/>
          <w:highlight w:val="none"/>
        </w:rPr>
        <w:t>不可抗力：</w:t>
      </w:r>
      <w:r>
        <w:rPr>
          <w:rFonts w:hint="eastAsia" w:ascii="宋体" w:hAnsi="宋体" w:cs="宋体"/>
          <w:bCs/>
          <w:color w:val="000000"/>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color w:val="000000"/>
          <w:highlight w:val="none"/>
        </w:rPr>
      </w:pPr>
      <w:r>
        <w:rPr>
          <w:rFonts w:hint="eastAsia" w:ascii="宋体" w:hAnsi="宋体" w:cs="宋体"/>
          <w:bCs/>
          <w:color w:val="000000"/>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（5）因理财计划各方和/或其关联方运营网络系统遭受黑客攻击、电信部门技术调整或故障等原因而造成的理财计划各方和/或其关联方之服务、营业的中断或者延迟。</w:t>
      </w:r>
    </w:p>
    <w:p>
      <w:pPr>
        <w:pStyle w:val="17"/>
        <w:adjustRightInd/>
        <w:spacing w:line="360" w:lineRule="auto"/>
        <w:rPr>
          <w:rFonts w:hint="eastAsia" w:ascii="宋体" w:hAnsi="宋体" w:cs="宋体"/>
          <w:bCs/>
          <w:color w:val="000000"/>
          <w:kern w:val="2"/>
          <w:highlight w:val="none"/>
        </w:rPr>
      </w:pPr>
    </w:p>
    <w:p>
      <w:pPr>
        <w:pStyle w:val="17"/>
        <w:numPr>
          <w:ilvl w:val="0"/>
          <w:numId w:val="19"/>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风险评级</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000000"/>
          <w:kern w:val="2"/>
          <w:highlight w:val="none"/>
        </w:rPr>
        <w:t>本理财计划的风险等级为〖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kern w:val="2"/>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kern w:val="2"/>
          <w:highlight w:val="none"/>
        </w:rPr>
        <w:t>〗风险。</w:t>
      </w:r>
      <w:r>
        <w:rPr>
          <w:rFonts w:hint="eastAsia" w:ascii="宋体" w:hAnsi="宋体" w:cs="宋体"/>
          <w:bCs/>
          <w:color w:val="000000"/>
          <w:kern w:val="2"/>
          <w:highlight w:val="none"/>
        </w:rPr>
        <w:t>该评级仅是管理人内部测评结果，仅供投资者参考，不具有任何法律约束力。理财计划存续区间，如因市场环境等因素发生变化，管理人存在调整产品风险评级的可能性，具体以管理人公告为准。</w:t>
      </w:r>
    </w:p>
    <w:tbl>
      <w:tblPr>
        <w:tblStyle w:val="8"/>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内部风险评级</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风险程度</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R1</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谨慎型、</w:t>
            </w: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R2</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R3</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R4</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R5</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激进型</w:t>
            </w:r>
          </w:p>
        </w:tc>
      </w:tr>
    </w:tbl>
    <w:p>
      <w:pPr>
        <w:pStyle w:val="17"/>
        <w:adjustRightInd/>
        <w:spacing w:line="360" w:lineRule="auto"/>
        <w:ind w:firstLine="480" w:firstLineChars="200"/>
        <w:rPr>
          <w:rFonts w:hint="default" w:ascii="宋体" w:hAnsi="宋体" w:cs="宋体"/>
          <w:bCs/>
          <w:color w:val="000000"/>
          <w:kern w:val="2"/>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pStyle w:val="17"/>
        <w:adjustRightInd/>
        <w:spacing w:line="360" w:lineRule="auto"/>
        <w:rPr>
          <w:rFonts w:hint="eastAsia" w:ascii="宋体" w:hAnsi="宋体" w:cs="宋体"/>
          <w:bCs/>
          <w:color w:val="000000"/>
          <w:kern w:val="2"/>
          <w:highlight w:val="none"/>
          <w:lang w:eastAsia="zh-CN"/>
        </w:rPr>
      </w:pPr>
    </w:p>
    <w:p>
      <w:pPr>
        <w:pStyle w:val="17"/>
        <w:numPr>
          <w:ilvl w:val="0"/>
          <w:numId w:val="19"/>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产品要素</w:t>
      </w:r>
    </w:p>
    <w:tbl>
      <w:tblPr>
        <w:tblStyle w:val="8"/>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幸福99丰裕固收386天26142期理财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丰裕固收26142期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FYG26142</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Z7002226000310</w:t>
            </w:r>
            <w:r>
              <w:rPr>
                <w:rFonts w:hint="eastAsia" w:ascii="宋体" w:hAnsi="宋体" w:cs="宋体"/>
                <w:color w:val="000000"/>
                <w:szCs w:val="21"/>
                <w:highlight w:val="none"/>
              </w:rPr>
              <w:t>〗，投资者可依据该编码在“中国理财网（www.chinawealth.com.cn）”查询本理财计划信息</w:t>
            </w:r>
            <w:r>
              <w:rPr>
                <w:rFonts w:hint="eastAsia" w:ascii="宋体" w:hAnsi="宋体" w:cs="宋体"/>
                <w:color w:val="00000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本理财计划适合</w:t>
            </w:r>
            <w:r>
              <w:rPr>
                <w:rFonts w:hint="eastAsia" w:ascii="宋体" w:hAnsi="宋体" w:eastAsia="宋体" w:cs="宋体"/>
                <w:color w:val="000000"/>
                <w:kern w:val="2"/>
                <w:sz w:val="21"/>
                <w:szCs w:val="21"/>
                <w:highlight w:val="none"/>
                <w:lang w:val="en-US" w:eastAsia="zh-CN" w:bidi="ar-SA"/>
              </w:rPr>
              <w:t>〖稳健型、平衡型、进取型、激进型〗的〖个人、机构投资者〗</w:t>
            </w:r>
            <w:r>
              <w:rPr>
                <w:rFonts w:hint="eastAsia" w:ascii="宋体" w:hAnsi="宋体" w:cs="宋体"/>
                <w:b/>
                <w:color w:val="000000"/>
                <w:szCs w:val="21"/>
                <w:highlight w:val="none"/>
              </w:rPr>
              <w:t>。</w:t>
            </w:r>
            <w:r>
              <w:rPr>
                <w:rFonts w:hint="eastAsia" w:ascii="宋体" w:hAnsi="宋体" w:cs="宋体"/>
                <w:bCs/>
                <w:color w:val="000000"/>
                <w:kern w:val="2"/>
                <w:highlight w:val="none"/>
                <w:lang w:eastAsia="zh-CN"/>
              </w:rPr>
              <w:t>投资者风险承受能力评级水平以销售机构评估为准。</w:t>
            </w:r>
          </w:p>
          <w:p>
            <w:pPr>
              <w:pageBreakBefore w:val="0"/>
              <w:spacing w:before="0" w:after="0" w:line="360" w:lineRule="auto"/>
              <w:ind w:left="0" w:right="0" w:hanging="1"/>
              <w:jc w:val="left"/>
              <w:textAlignment w:val="auto"/>
            </w:pPr>
            <w:r>
              <w:rPr>
                <w:rFonts w:ascii="宋体" w:hAnsi="宋体" w:eastAsia="宋体" w:cs="宋体"/>
                <w:b/>
                <w:i w:val="0"/>
                <w:caps w:val="0"/>
                <w:strike w:val="0"/>
                <w:dstrike w:val="0"/>
                <w:shadow w:val="0"/>
                <w:emboss w:val="0"/>
                <w:imprint w:val="0"/>
                <w:color w:val="000000"/>
                <w:kern w:val="2"/>
                <w:position w:val="-1"/>
                <w:sz w:val="21"/>
                <w:u w:val="none"/>
                <w:vertAlign w:val="baseline"/>
              </w:rPr>
              <w:t>其中：</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A份额（销售代码〖FYG26142A〗）：普通个人投资者和机构客户。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B份额（销售代码〖FYG26142B〗）：普通个人投资者和机构客户。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C份额（销售代码〖FYG26142C〗）：普通个人投资者和机构客户。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D份额（销售代码〖FYG26142D〗）：普通个人投资者和机构客户。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E份额（公司专属）（销售代码〖FYG26142E〗）：普通个人投资者和机构客户。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F份额惠享款（销售代码〖FYG26142F〗）：普通个人投资者和机构客户。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G份额（销售代码〖FYG26142G〗）：普通个人投资者和机构客户。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H份额（销售代码〖FYG26142H〗）：浙商银行浙江省内分行网点开户的客户。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I份额（爽盈优选）（销售代码〖FYG26142I〗）：普通个人投资者和机构客户。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J份额（销售代码〖FYG26142J〗）：普通个人投资者和机构客户。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M份额（天府·优选）（销售代码〖FYG26142M〗）：普通个人投资者和机构客户。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N份额惠享款（长长财富·鑫享）（销售代码〖FYG26142N〗）：普通个人投资者和机构客户。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O份额惠享款（销售代码〖FYG26142O〗）：普通个人投资者和机构客户。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P份额（芙蓉锦程·优选）（销售代码〖FYG26142P〗）：普通个人投资者和机构客户。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Q份额（销售代码〖FYG26142Q〗）：普通个人投资者和机构客户。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R份额惠享款吉行十二号（销售代码〖FYG26142R〗）：普通个人投资者和机构客户。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T份额惠享款（齐鲁-逢六有约）（销售代码〖FYG26142T〗）：普通个人投资者和机构客户。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W份额惠享款（销售代码〖FYG26142W〗）：普通个人投资者和机构客户。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X份额（销售代码〖FYG26142X〗）：普通个人投资者。</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Y份额惠享款（销售代码〖FYG26142Y〗）：普通个人投资者和机构客户。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Z份额惠享款（销售代码〖FYG26142Z〗）：普通个人投资者和机构客户。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ZA份额惠享款（销售代码〖FYG26142ZA〗）：普通个人投资者和机构客户。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ZC份额惠享款（长长财富·臻享）（销售代码〖FYG26142ZC〗）：普通个人投资者和机构客户。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ZD份额惠享款（湖北银行专属）（销售代码〖FYG26142ZD〗）：普通个人投资者和机构客户。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ZE份额惠享款（销售代码〖FYG26142ZE〗）：普通个人投资者和机构客户。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ZF份额惠享款（销售代码〖FYG26142ZF〗）：普通个人投资者和机构客户。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ZG份额惠享款（销售代码〖FYG26142ZG〗）：普通个人投资者和机构客户。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ZJ份额惠享款（代发专属）（销售代码〖FYG26142ZJ〗）：普通个人投资者和机构客户。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ZL份额惠享款（销售代码〖FYG26142ZL〗）：普通个人投资者和机构客户。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固定收益类</w:t>
            </w:r>
            <w:r>
              <w:rPr>
                <w:rFonts w:hint="eastAsia" w:ascii="宋体" w:hAnsi="宋体" w:cs="宋体"/>
                <w:color w:val="000000"/>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否</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可通过</w:t>
            </w:r>
            <w:r>
              <w:rPr>
                <w:rFonts w:hint="eastAsia" w:ascii="宋体" w:hAnsi="宋体" w:cs="宋体"/>
                <w:color w:val="000000"/>
                <w:szCs w:val="21"/>
                <w:highlight w:val="none"/>
                <w:lang w:eastAsia="zh-CN"/>
              </w:rPr>
              <w:t>杭银理财直销渠道和代理</w:t>
            </w:r>
            <w:r>
              <w:rPr>
                <w:rFonts w:hint="eastAsia" w:ascii="宋体" w:hAnsi="宋体" w:cs="宋体"/>
                <w:color w:val="000000"/>
                <w:szCs w:val="21"/>
                <w:highlight w:val="none"/>
              </w:rPr>
              <w:t>销售机构的〖营业网点、网上银行、手机银行〗等渠道购买</w:t>
            </w:r>
            <w:r>
              <w:rPr>
                <w:rFonts w:hint="eastAsia" w:ascii="宋体" w:hAnsi="宋体" w:cs="宋体"/>
                <w:color w:val="000000"/>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人民币</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〖80〗亿元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9</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15</w:t>
            </w:r>
            <w:r>
              <w:rPr>
                <w:rFonts w:hint="eastAsia" w:ascii="宋体" w:hAnsi="宋体" w:cs="宋体"/>
                <w:color w:val="000000"/>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9</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21</w:t>
            </w:r>
            <w:r>
              <w:rPr>
                <w:rFonts w:hint="eastAsia" w:ascii="宋体" w:hAnsi="宋体" w:cs="宋体"/>
                <w:color w:val="000000"/>
                <w:szCs w:val="21"/>
                <w:highlight w:val="none"/>
              </w:rPr>
              <w:t>〗日</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认购期首日〖9：00〗至认购结束日〖17：00〗</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9</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22</w:t>
            </w:r>
            <w:r>
              <w:rPr>
                <w:rFonts w:hint="eastAsia" w:ascii="宋体" w:hAnsi="宋体" w:cs="宋体"/>
                <w:color w:val="000000"/>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到期日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2027</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10</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13</w:t>
            </w:r>
            <w:r>
              <w:rPr>
                <w:rFonts w:hint="eastAsia" w:ascii="宋体" w:hAnsi="宋体" w:cs="宋体"/>
                <w:color w:val="000000"/>
                <w:szCs w:val="21"/>
                <w:highlight w:val="none"/>
              </w:rPr>
              <w:t>〗日，若到期日为非工作日则顺延至下一个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386</w:t>
            </w:r>
            <w:r>
              <w:rPr>
                <w:rFonts w:hint="eastAsia" w:ascii="宋体" w:hAnsi="宋体" w:cs="宋体"/>
                <w:color w:val="000000"/>
                <w:szCs w:val="21"/>
                <w:highlight w:val="none"/>
              </w:rPr>
              <w:t>〗天（实际理财期限受制于管理人提前终止权等条款）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0"/>
                <w:sz w:val="21"/>
                <w:szCs w:val="21"/>
                <w:highlight w:val="none"/>
                <w:lang w:val="en-US" w:eastAsia="zh-CN" w:bidi="ar-SA"/>
              </w:rPr>
              <w:t>〖A份额〗起点〖1〗元整，超过认购起点部分，应为〖1〗元的整数倍。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〖C份额〗起点〖1〗元整，超过认购起点部分，应为〖1〗元的整数倍。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〖D份额〗起点〖1〗元整，超过认购起点部分，应为〖1〗元的整数倍。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〖F份额〗起点〖1〗元整，超过认购起点部分，应为〖1〗元的整数倍。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〖G份额〗起点〖20〗万元整，超过认购起点部分，应为〖1〗元的整数倍。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〖H份额〗起点〖1〗元整，超过认购起点部分，应为〖1〗元的整数倍。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〖I份额〗起点〖1〗元整，超过认购起点部分，应为〖1〗元的整数倍。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〖M份额〗起点〖1〗元整，超过认购起点部分，应为〖1〗元的整数倍。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〖N份额〗起点〖1〗元整，超过认购起点部分，应为〖1〗元的整数倍。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〖O份额〗起点〖1〗元整，超过认购起点部分，应为〖1〗元的整数倍。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〖P份额〗起点〖1〗元整，超过认购起点部分，应为〖1〗元的整数倍。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〖Q份额〗起点〖1〗元整，超过认购起点部分，应为〖1〗元的整数倍。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〖R份额〗起点〖1〗元整，超过认购起点部分，应为〖1〗元的整数倍。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〖T份额〗起点〖1〗元整，超过认购起点部分，应为〖1〗元的整数倍。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〖W份额〗起点〖1〗元整，超过认购起点部分，应为〖1〗元的整数倍。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〖X份额〗起点〖1〗元整，超过认购起点部分，应为〖1〗元的整数倍。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〖Y份额〗起点〖1〗元整，超过认购起点部分，应为〖1〗元的整数倍。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〖ZC份额〗起点〖30〗万元整，超过认购起点部分，应为〖1〗元的整数倍。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〖ZD份额〗起点〖20〗万元整，超过认购起点部分，应为〖1〗元的整数倍。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〖ZF份额〗起点〖1〗元整，超过认购起点部分，应为〖1〗元的整数倍。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〖ZG份额〗起点〖1〗元整，超过认购起点部分，应为〖1〗元的整数倍。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〖ZL份额〗起点〖1〗元整，超过认购起点部分，应为〖1〗元的整数倍。</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〖3〗千万元</w:t>
            </w:r>
            <w:r>
              <w:rPr>
                <w:rFonts w:hint="eastAsia" w:ascii="宋体" w:hAnsi="宋体" w:cs="宋体"/>
                <w:color w:val="000000"/>
                <w:szCs w:val="21"/>
                <w:highlight w:val="none"/>
              </w:rPr>
              <w:t>，则管理人可宣布本理财计划不成立并在原定理财计划成立日后〖2〗个工作日内通过管理人或销售机构发布不成立信息，投资者购买的理财资金将在原定成立日后2个工作日内划转至投资者指定理财账户，</w:t>
            </w:r>
            <w:r>
              <w:rPr>
                <w:rFonts w:hint="eastAsia" w:ascii="宋体" w:hAnsi="宋体" w:cs="宋体"/>
                <w:b/>
                <w:color w:val="000000"/>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val="en-US" w:eastAsia="zh-CN"/>
              </w:rPr>
            </w:pPr>
            <w:r>
              <w:rPr>
                <w:rFonts w:hint="eastAsia" w:ascii="宋体" w:hAnsi="宋体" w:cs="宋体"/>
                <w:color w:val="000000"/>
                <w:sz w:val="21"/>
                <w:szCs w:val="21"/>
                <w:highlight w:val="none"/>
                <w:lang w:val="en-US" w:eastAsia="zh-CN"/>
              </w:rPr>
              <w:t>单户持有份额不得超过理财计划总份额的50%。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Cs w:val="21"/>
                <w:highlight w:val="none"/>
              </w:rPr>
              <w:t>理财计划总份额，</w:t>
            </w:r>
            <w:r>
              <w:rPr>
                <w:rFonts w:hint="eastAsia" w:ascii="宋体" w:hAnsi="宋体" w:eastAsia="宋体" w:cs="宋体"/>
                <w:color w:val="000000"/>
                <w:kern w:val="2"/>
                <w:sz w:val="21"/>
                <w:szCs w:val="21"/>
                <w:highlight w:val="none"/>
                <w:lang w:val="en-US" w:eastAsia="zh-CN" w:bidi="ar-SA"/>
              </w:rPr>
              <w:t>单位净值〖保留小数点后四位〗，〖四位后四舍五入〗</w:t>
            </w:r>
            <w:r>
              <w:rPr>
                <w:rFonts w:hint="eastAsia" w:ascii="宋体" w:hAnsi="宋体" w:cs="宋体"/>
                <w:color w:val="000000"/>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理财计划总净值=理财计划认购总额+理财计划所获总收益-理财计划总费用（包括但不限于管理费、托管费、</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资金与收益支付方式</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Cs w:val="21"/>
                <w:highlight w:val="none"/>
              </w:rPr>
            </w:pPr>
            <w:r>
              <w:rPr>
                <w:rFonts w:hint="eastAsia" w:ascii="宋体" w:hAnsi="宋体" w:cs="宋体"/>
                <w:color w:val="000000"/>
                <w:szCs w:val="21"/>
                <w:highlight w:val="none"/>
              </w:rPr>
              <w:t>理财计划到期后，最快</w:t>
            </w:r>
            <w:r>
              <w:rPr>
                <w:rFonts w:hint="eastAsia" w:ascii="宋体" w:hAnsi="宋体" w:eastAsia="宋体" w:cs="宋体"/>
                <w:color w:val="000000"/>
                <w:kern w:val="2"/>
                <w:sz w:val="21"/>
                <w:szCs w:val="21"/>
                <w:lang w:val="en-US" w:eastAsia="zh-CN" w:bidi="ar"/>
              </w:rPr>
              <w:t>〖1〗个〖工作日〗</w:t>
            </w:r>
            <w:r>
              <w:rPr>
                <w:rFonts w:hint="eastAsia" w:ascii="宋体" w:hAnsi="宋体" w:cs="宋体"/>
                <w:color w:val="000000"/>
                <w:szCs w:val="21"/>
                <w:highlight w:val="none"/>
              </w:rPr>
              <w:t>，最晚</w:t>
            </w:r>
            <w:r>
              <w:rPr>
                <w:rFonts w:hint="eastAsia" w:ascii="宋体" w:hAnsi="宋体" w:eastAsia="宋体" w:cs="宋体"/>
                <w:color w:val="000000"/>
                <w:kern w:val="2"/>
                <w:sz w:val="21"/>
                <w:szCs w:val="21"/>
                <w:lang w:val="en-US" w:eastAsia="zh-CN" w:bidi="ar"/>
              </w:rPr>
              <w:t>〖3〗个〖工作日〗内</w:t>
            </w:r>
            <w:r>
              <w:rPr>
                <w:rFonts w:hint="eastAsia" w:ascii="宋体" w:hAnsi="宋体" w:cs="宋体"/>
                <w:color w:val="000000"/>
                <w:szCs w:val="21"/>
                <w:highlight w:val="none"/>
              </w:rPr>
              <w:t>（遇节假日顺延）支付。如遇资金在途或法定工作日调整，实际资金到账日以公告为准。</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color w:val="000000"/>
                <w:szCs w:val="21"/>
                <w:highlight w:val="none"/>
              </w:rPr>
            </w:pPr>
            <w:r>
              <w:rPr>
                <w:rFonts w:hint="eastAsia" w:ascii="宋体" w:hAnsi="宋体" w:cs="宋体"/>
                <w:color w:val="000000"/>
                <w:szCs w:val="21"/>
                <w:highlight w:val="none"/>
              </w:rPr>
              <w:t>在满足收益分配基准日理财计划份额净值大于1元的情况下，管理人将〖</w:t>
            </w:r>
            <w:r>
              <w:rPr>
                <w:rFonts w:hint="eastAsia" w:ascii="宋体" w:hAnsi="宋体" w:cs="宋体"/>
                <w:color w:val="000000"/>
                <w:szCs w:val="21"/>
                <w:highlight w:val="none"/>
                <w:lang w:eastAsia="zh-CN"/>
              </w:rPr>
              <w:t>不</w:t>
            </w:r>
            <w:r>
              <w:rPr>
                <w:rFonts w:hint="eastAsia" w:ascii="宋体" w:hAnsi="宋体" w:cs="宋体"/>
                <w:color w:val="000000"/>
                <w:szCs w:val="21"/>
                <w:highlight w:val="none"/>
              </w:rPr>
              <w:t>定期〗将大于1元部分的收益进行全部或部分收益分配，具体分配方案以管理人公告为准。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业绩比较基准</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本理财计划〖A份额〗业绩比较基准为〖2.35%-2.55%〗（年化）。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本理财计划〖B份额〗业绩比较基准为〖2.45%-2.65%〗（年化）。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本理财计划〖C份额〗业绩比较基准为〖2.55%-2.75%〗（年化）。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本理财计划〖D份额〗业绩比较基准为〖2.50%-2.70%〗（年化）。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本理财计划〖E份额〗业绩比较基准为〖2.20%-2.40%〗（年化）。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本理财计划〖F份额〗业绩比较基准为〖2.25%-2.45%〗（年化）。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本理财计划〖G份额〗业绩比较基准为〖2.60%-2.80%〗（年化）。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本理财计划〖H份额〗业绩比较基准为〖2.60%-2.80%〗（年化）。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本理财计划〖I份额〗业绩比较基准为〖2.35%-2.55%〗（年化）。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本理财计划〖J份额〗业绩比较基准为〖2.60%-2.80%〗（年化）。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本理财计划〖M份额〗业绩比较基准为〖2.60%-2.80%〗（年化）。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本理财计划〖N份额〗业绩比较基准为〖2.45%-2.65%〗（年化）。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本理财计划〖O份额〗业绩比较基准为〖2.35%-2.55%〗（年化）。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本理财计划〖P份额〗业绩比较基准为〖2.60%-2.80%〗（年化）。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本理财计划〖Q份额〗业绩比较基准为〖2.40%-2.60%〗（年化）。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本理财计划〖R份额〗业绩比较基准为〖2.45%-2.65%〗（年化）。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本理财计划〖T份额〗业绩比较基准为〖2.50%-2.70%〗（年化）。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本理财计划〖W份额〗业绩比较基准为〖2.35%-2.55%〗（年化）。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本理财计划〖X份额〗业绩比较基准为〖2.60%-2.80%〗（年化）。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本理财计划〖Y份额〗业绩比较基准为〖2.45%-2.65%〗（年化）。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本理财计划〖ZA份额〗业绩比较基准为〖2.50%-2.70%〗（年化）。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本理财计划〖ZC份额〗业绩比较基准为〖2.50%-2.70%〗（年化）。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本理财计划〖ZD份额〗业绩比较基准为〖2.60%-2.80%〗（年化）。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本理财计划〖ZE份额〗业绩比较基准为〖2.40%-2.60%〗（年化）。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本理财计划〖ZF份额〗业绩比较基准为〖2.40%-2.60%〗（年化）。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本理财计划〖ZG份额〗业绩比较基准为〖2.50%-2.70%〗（年化）。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本理财计划〖ZJ份额〗业绩比较基准为〖2.45%-2.65%〗（年化）。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本理财计划〖ZL份额〗业绩比较基准为〖2.60%-2.80%〗（年化）。</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color w:val="000000"/>
                <w:szCs w:val="21"/>
                <w:highlight w:val="none"/>
              </w:rPr>
            </w:pPr>
            <w:r>
              <w:rPr>
                <w:rFonts w:hint="eastAsia" w:ascii="宋体" w:hAnsi="宋体" w:cs="宋体"/>
                <w:b/>
                <w:bCs/>
                <w:color w:val="000000"/>
                <w:szCs w:val="21"/>
                <w:highlight w:val="none"/>
              </w:rPr>
              <w:t>业绩基准测算依据：</w:t>
            </w:r>
            <w:r>
              <w:rPr>
                <w:rFonts w:hint="eastAsia" w:ascii="宋体" w:hAnsi="宋体" w:eastAsia="宋体" w:cs="宋体"/>
                <w:b/>
                <w:bCs/>
                <w:color w:val="000000"/>
                <w:kern w:val="2"/>
                <w:sz w:val="21"/>
                <w:szCs w:val="21"/>
                <w:lang w:val="en-US" w:eastAsia="zh-CN" w:bidi="ar"/>
              </w:rPr>
              <w:t>本理财计划重点投资于货币市场工具、债券、非标准化债权类资产等资产，管理人根据固定收益市场历史表现，结合当前利率水平、资产配比及市场同类型产品情况，经综合判断得出。</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b/>
                <w:color w:val="000000"/>
                <w:szCs w:val="21"/>
                <w:highlight w:val="none"/>
              </w:rPr>
              <w:t>本理财计划为净值型理财产品，其业绩表现将随市场波动具有不确定性。本公司提醒投资者关注，业绩比较基准</w:t>
            </w:r>
            <w:r>
              <w:rPr>
                <w:rFonts w:hint="eastAsia" w:ascii="宋体" w:hAnsi="宋体" w:cs="宋体"/>
                <w:b/>
                <w:color w:val="000000"/>
                <w:szCs w:val="21"/>
                <w:highlight w:val="none"/>
                <w:lang w:eastAsia="zh-CN"/>
              </w:rPr>
              <w:t>不是预期收益率，</w:t>
            </w:r>
            <w:r>
              <w:rPr>
                <w:rFonts w:hint="eastAsia" w:ascii="宋体" w:hAnsi="宋体" w:cs="宋体"/>
                <w:b/>
                <w:color w:val="000000"/>
                <w:szCs w:val="21"/>
                <w:highlight w:val="none"/>
              </w:rPr>
              <w:t>并不代表</w:t>
            </w:r>
            <w:r>
              <w:rPr>
                <w:rFonts w:hint="eastAsia" w:ascii="宋体" w:hAnsi="宋体" w:cs="宋体"/>
                <w:b/>
                <w:color w:val="000000"/>
                <w:szCs w:val="21"/>
                <w:highlight w:val="none"/>
                <w:lang w:eastAsia="zh-CN"/>
              </w:rPr>
              <w:t>理财计划的未来表现和</w:t>
            </w:r>
            <w:r>
              <w:rPr>
                <w:rFonts w:hint="eastAsia" w:ascii="宋体" w:hAnsi="宋体" w:cs="宋体"/>
                <w:b/>
                <w:color w:val="000000"/>
                <w:szCs w:val="21"/>
                <w:highlight w:val="none"/>
              </w:rPr>
              <w:t>实际收益率</w:t>
            </w:r>
            <w:r>
              <w:rPr>
                <w:rFonts w:hint="eastAsia" w:ascii="宋体" w:hAnsi="宋体" w:cs="宋体"/>
                <w:b/>
                <w:color w:val="000000"/>
                <w:szCs w:val="21"/>
                <w:highlight w:val="none"/>
                <w:lang w:eastAsia="zh-CN"/>
              </w:rPr>
              <w:t>，不构成对理财计划收益的承诺</w:t>
            </w:r>
            <w:r>
              <w:rPr>
                <w:rFonts w:hint="eastAsia" w:ascii="宋体" w:hAnsi="宋体" w:cs="宋体"/>
                <w:b/>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〖C份额〗收取年化〖0.10%〗的销售服务费, 〖D份额〗收取年化〖0.15%〗的销售服务费, 〖E份额〗收取年化〖0.40%〗的销售服务费, 〖F份额〗收取年化〖0.40%〗的销售服务费, 〖G份额〗收取年化〖0.05%〗的销售服务费, 〖H份额〗收取年化〖0.05%〗的销售服务费, 〖I份额〗收取年化〖0.30%〗的销售服务费, 〖J份额〗收取年化〖0.05%〗的销售服务费, 〖M份额〗收取年化〖0.15%〗的销售服务费, 〖N份额〗收取年化〖0.20%〗的销售服务费, 〖O份额〗收取年化〖0.30%〗的销售服务费, 〖P份额〗收取年化〖0.15%〗的销售服务费, 〖Q份额〗收取年化〖0.25%〗的销售服务费, 〖R份额〗收取年化〖0.20%〗的销售服务费, 〖T份额〗收取年化〖0.20%〗的销售服务费, 〖W份额〗收取年化〖0.30%〗的销售服务费, 〖X份额〗收取年化〖0.05%〗的销售服务费, 〖Y份额〗收取年化〖0.20%〗的销售服务费, 〖Z份额〗收取年化〖0.10%〗的销售服务费, 〖ZA份额〗收取年化〖0.15%〗的销售服务费, 〖ZC份额〗收取年化〖0.15%〗的销售服务费, 〖ZD份额〗收取年化〖0.05%〗的销售服务费, 〖ZE份额〗收取年化〖0.25%〗的销售服务费, 〖ZF份额〗收取年化〖0.25%〗的销售服务费, 〖ZG份额〗收取年化〖0.20%〗的销售服务费, 〖ZJ份额〗收取年化〖0.20%〗的销售服务费, 〖ZL份额〗收取年化〖0.05%〗的销售服务费。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2.托管费：收取年化〖</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〖A份额〗收取年化〖0.10%〗的固定管理费, 〖B份额〗收取年化〖0.10%〗的固定管理费, 〖C份额〗收取年化〖0.10%〗的固定管理费, 〖D份额〗收取年化〖0.10%〗的固定管理费, 〖E份额〗收取年化〖0.15%〗的固定管理费, 〖F份额〗收取年化〖0.10%〗的固定管理费, 〖G份额〗收取年化〖0.10%〗的固定管理费, 〖H份额〗收取年化〖0.10%〗的固定管理费, 〖I份额〗收取年化〖0.10%〗的固定管理费, 〖J份额〗收取年化〖0.10%〗的固定管理费, 〖M份额〗收取年化〖0.00%〗的固定管理费, 〖N份额〗收取年化〖0.10%〗的固定管理费, 〖O份额〗收取年化〖0.10%〗的固定管理费, 〖P份额〗收取年化〖0.00%〗的固定管理费, 〖Q份额〗收取年化〖0.10%〗的固定管理费, 〖R份额〗收取年化〖0.10%〗的固定管理费, 〖T份额〗收取年化〖0.05%〗的固定管理费, 〖W份额〗收取年化〖0.10%〗的固定管理费, 〖X份额〗收取年化〖0.10%〗的固定管理费, 〖Y份额〗收取年化〖0.10%〗的固定管理费, 〖Z份额〗收取年化〖0.10%〗的固定管理费, 〖ZA份额〗收取年化〖0.10%〗的固定管理费, 〖ZC份额〗收取年化〖0.10%〗的固定管理费, 〖ZD份额〗收取年化〖0.10%〗的固定管理费, 〖ZE份额〗收取年化〖0.10%〗的固定管理费, 〖ZF份额〗收取年化〖0.10%〗的固定管理费, 〖ZG份额〗收取年化〖0.05%〗的固定管理费, 〖ZJ份额〗收取年化〖0.10%〗的固定管理费, 〖ZL份额〗收取年化〖0.10%〗的固定管理费。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rPr>
              <w:t>5.浮动管理费</w:t>
            </w:r>
            <w:r>
              <w:rPr>
                <w:rFonts w:hint="eastAsia" w:ascii="宋体" w:hAnsi="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除O、ZJ份额）到期日（提前终止日）的折合年化收益率在〖业绩比较基准下限（含）至业绩比较基准上限（含）〗的部分，管理人提取〖50%〗作为浮动管理费，在折合年化收益率超过〖业绩比较基准上限〗的部分，管理人提取〖80%〗作为浮动管理费；〖O份额〗到期日（提前终止日）的折合年化收益率在〖业绩比较基准下限（含）至业绩比较基准中枢（含）〗的部分，管理人提取〖50%〗作为浮动管理费，在折合年化收益率超过〖业绩比较基准中枢〗的部分，管理人提取〖60%〗作为浮动管理费；〖ZJ份额〗到期日（提前终止日）的折合年化收益率在〖业绩比较基准下限（含）至业绩比较基准中枢（含）〗的部分，管理人提取〖50%〗作为浮动管理费，在折合年化收益率超过〖业绩比较基准中枢〗的部分，管理人提取〖60%〗作为浮动管理费。</w:t>
            </w:r>
          </w:p>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
              </w:rPr>
              <w:t>6.信息技术服务费：收取年化〖0.002%〗的信息技术服务费。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如遇国家金融政策出现重大调整并影响到本理财计划的正常运行的、市场收益率大幅波动可能或实质影响理财计划收益等情况，管理人有权提前终止本理财计划。具体参见说明书“交易规则”部分。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Cs w:val="21"/>
                <w:highlight w:val="none"/>
              </w:rPr>
            </w:pPr>
            <w:r>
              <w:rPr>
                <w:rFonts w:hint="eastAsia" w:ascii="宋体" w:hAnsi="宋体" w:cs="宋体"/>
                <w:color w:val="000000"/>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Cs w:val="21"/>
                <w:highlight w:val="none"/>
              </w:rPr>
            </w:pPr>
            <w:r>
              <w:rPr>
                <w:rFonts w:hint="eastAsia" w:ascii="宋体" w:hAnsi="宋体" w:cs="宋体"/>
                <w:color w:val="000000"/>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Cs w:val="21"/>
                <w:highlight w:val="none"/>
              </w:rPr>
            </w:pPr>
            <w:r>
              <w:rPr>
                <w:rFonts w:hint="eastAsia" w:ascii="宋体" w:hAnsi="宋体" w:cs="宋体"/>
                <w:b/>
                <w:color w:val="000000"/>
                <w:szCs w:val="21"/>
                <w:highlight w:val="none"/>
              </w:rPr>
              <w:t>投资者在理财期限内不能提前</w:t>
            </w:r>
            <w:r>
              <w:rPr>
                <w:rFonts w:hint="eastAsia" w:ascii="宋体" w:hAnsi="宋体" w:cs="宋体"/>
                <w:b/>
                <w:color w:val="000000"/>
                <w:szCs w:val="21"/>
                <w:highlight w:val="none"/>
                <w:lang w:eastAsia="zh-CN"/>
              </w:rPr>
              <w:t>赎回</w:t>
            </w:r>
            <w:r>
              <w:rPr>
                <w:rFonts w:hint="eastAsia" w:ascii="宋体" w:hAnsi="宋体" w:cs="宋体"/>
                <w:b/>
                <w:color w:val="000000"/>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szCs w:val="21"/>
                <w:highlight w:val="none"/>
              </w:rPr>
              <w:t>认购期内按照活期存款利率计息（直销渠道除外），认购期内的利息不计入认购本金份额。到期日（或理财计划实际终止日）到理财资金返还到账日为清算期，清算期内不计付利息。</w:t>
            </w:r>
            <w:r>
              <w:rPr>
                <w:rFonts w:hint="eastAsia" w:ascii="宋体" w:hAnsi="宋体" w:cs="宋体"/>
                <w:color w:val="000000"/>
                <w:kern w:val="0"/>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kern w:val="0"/>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000000"/>
          <w:kern w:val="2"/>
          <w:sz w:val="24"/>
          <w:szCs w:val="24"/>
          <w:highlight w:val="none"/>
          <w:lang w:val="en-US" w:eastAsia="zh-CN" w:bidi="ar-SA"/>
        </w:rPr>
        <w:t>本理财计划自成立日起〖1个月〗为建仓期，管理人应当在建仓期结束前使各项投资比例符合约定。</w:t>
      </w:r>
    </w:p>
    <w:p>
      <w:pPr>
        <w:numPr>
          <w:ilvl w:val="0"/>
          <w:numId w:val="2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投资范围</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本理财计划主要投资于符合监管要求的各类资产：</w:t>
      </w:r>
    </w:p>
    <w:p>
      <w:pPr>
        <w:keepNext w:val="0"/>
        <w:keepLines w:val="0"/>
        <w:widowControl w:val="0"/>
        <w:suppressLineNumbers w:val="0"/>
        <w:spacing w:before="0" w:beforeAutospacing="0" w:after="0" w:afterAutospacing="0" w:line="360" w:lineRule="auto"/>
        <w:ind w:left="-1" w:right="-1" w:firstLine="480"/>
        <w:jc w:val="left"/>
        <w:rPr>
          <w:rFonts w:hint="eastAsia" w:ascii="宋体" w:hAnsi="宋体" w:eastAsia="宋体" w:cs="宋体"/>
          <w:color w:val="000000"/>
          <w:kern w:val="2"/>
          <w:position w:val="0"/>
          <w:sz w:val="24"/>
          <w:szCs w:val="24"/>
          <w:highlight w:val="none"/>
        </w:rPr>
      </w:pPr>
      <w:r>
        <w:rPr>
          <w:rFonts w:hint="eastAsia" w:ascii="宋体" w:hAnsi="宋体" w:eastAsia="宋体" w:cs="宋体"/>
          <w:color w:val="000000"/>
          <w:kern w:val="2"/>
          <w:position w:val="0"/>
          <w:sz w:val="24"/>
          <w:szCs w:val="24"/>
          <w:highlight w:val="none"/>
          <w:lang w:val="en-US" w:eastAsia="zh-CN" w:bidi="ar"/>
        </w:rPr>
        <w:t>包括但不限于各类债券、存款、货币市场金融工具、债券基金、质押式及买断式回购、非标准化债权类资产，其他符合监管要求的固定收益类资产及资产管理产品。</w:t>
      </w:r>
    </w:p>
    <w:p>
      <w:pPr>
        <w:keepNext w:val="0"/>
        <w:keepLines w:val="0"/>
        <w:widowControl w:val="0"/>
        <w:suppressLineNumbers w:val="0"/>
        <w:spacing w:before="0" w:beforeAutospacing="0" w:after="0" w:afterAutospacing="0"/>
        <w:ind w:left="0" w:leftChars="0" w:right="0" w:firstLine="480" w:firstLineChars="200"/>
        <w:jc w:val="both"/>
        <w:rPr>
          <w:rFonts w:hint="eastAsia" w:ascii="宋体" w:hAnsi="宋体" w:eastAsia="宋体" w:cs="宋体"/>
          <w:color w:val="000000"/>
          <w:highlight w:val="none"/>
        </w:rPr>
      </w:pPr>
      <w:r>
        <w:rPr>
          <w:rFonts w:hint="eastAsia" w:ascii="宋体" w:hAnsi="宋体" w:eastAsia="宋体" w:cs="宋体"/>
          <w:color w:val="000000"/>
          <w:kern w:val="2"/>
          <w:position w:val="0"/>
          <w:sz w:val="24"/>
          <w:szCs w:val="24"/>
          <w:highlight w:val="none"/>
          <w:lang w:val="en-US" w:eastAsia="zh-CN" w:bidi="ar"/>
        </w:rPr>
        <w:t>法律法规或监管机构允许投资的符合本理财产品投资性质的其他金融资产。</w:t>
      </w:r>
    </w:p>
    <w:p>
      <w:pPr>
        <w:numPr>
          <w:ilvl w:val="0"/>
          <w:numId w:val="21"/>
        </w:numPr>
        <w:spacing w:line="360" w:lineRule="auto"/>
        <w:jc w:val="left"/>
        <w:outlineLvl w:val="9"/>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投资比例</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本理财计划各投资资产占</w:t>
      </w:r>
      <w:r>
        <w:rPr>
          <w:rFonts w:hint="eastAsia" w:ascii="宋体" w:hAnsi="宋体" w:eastAsia="宋体" w:cs="宋体"/>
          <w:bCs/>
          <w:color w:val="000000"/>
          <w:sz w:val="24"/>
          <w:highlight w:val="none"/>
          <w:lang w:eastAsia="zh-CN"/>
        </w:rPr>
        <w:t>总</w:t>
      </w:r>
      <w:r>
        <w:rPr>
          <w:rFonts w:hint="eastAsia" w:ascii="宋体" w:hAnsi="宋体" w:eastAsia="宋体" w:cs="宋体"/>
          <w:bCs/>
          <w:color w:val="000000"/>
          <w:sz w:val="24"/>
          <w:highlight w:val="none"/>
        </w:rPr>
        <w:t>资产的配置比例如下：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000000"/>
          <w:sz w:val="24"/>
          <w:szCs w:val="24"/>
          <w:highlight w:val="none"/>
        </w:rPr>
      </w:pPr>
      <w:r>
        <w:rPr>
          <w:rFonts w:hint="eastAsia" w:ascii="宋体" w:hAnsi="宋体" w:eastAsia="宋体" w:cs="宋体"/>
          <w:color w:val="000000"/>
          <w:kern w:val="2"/>
          <w:sz w:val="24"/>
          <w:szCs w:val="24"/>
          <w:lang w:val="en-US" w:eastAsia="zh-CN" w:bidi="ar"/>
        </w:rPr>
        <w:t>本理财产品投资于固定收益类资产的比例不低于80%，投资于非标准化债权类资产的比例不高于50%。</w:t>
      </w:r>
    </w:p>
    <w:p>
      <w:pPr>
        <w:pStyle w:val="17"/>
        <w:numPr>
          <w:ilvl w:val="0"/>
          <w:numId w:val="22"/>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pStyle w:val="17"/>
        <w:numPr>
          <w:ilvl w:val="0"/>
          <w:numId w:val="22"/>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17"/>
        <w:numPr>
          <w:ilvl w:val="0"/>
          <w:numId w:val="22"/>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本理财计划存在投资退出期，投资退出期至理财计划到期终止期间，为保障投资管理平稳运作，投资组合比例可能超出约定投资范围比例。</w:t>
      </w:r>
    </w:p>
    <w:p>
      <w:pPr>
        <w:pStyle w:val="17"/>
        <w:numPr>
          <w:ilvl w:val="0"/>
          <w:numId w:val="22"/>
        </w:numPr>
        <w:adjustRightInd/>
        <w:spacing w:line="360" w:lineRule="auto"/>
        <w:ind w:firstLine="458" w:firstLineChars="190"/>
        <w:rPr>
          <w:rFonts w:hint="eastAsia" w:ascii="宋体" w:hAnsi="宋体" w:cs="宋体"/>
          <w:bCs/>
          <w:color w:val="000000"/>
          <w:kern w:val="2"/>
          <w:highlight w:val="none"/>
        </w:rPr>
      </w:pPr>
      <w:r>
        <w:rPr>
          <w:rFonts w:hint="eastAsia" w:ascii="宋体" w:hAnsi="宋体" w:cs="宋体"/>
          <w:b/>
          <w:bCs w:val="0"/>
          <w:color w:val="000000"/>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投资策略</w:t>
      </w:r>
    </w:p>
    <w:p>
      <w:pPr>
        <w:pStyle w:val="17"/>
        <w:numPr>
          <w:ilvl w:val="0"/>
          <w:numId w:val="23"/>
        </w:numPr>
        <w:adjustRightInd/>
        <w:spacing w:line="360" w:lineRule="auto"/>
        <w:rPr>
          <w:rFonts w:hint="eastAsia" w:ascii="宋体" w:hAnsi="宋体" w:cs="宋体"/>
          <w:bCs/>
          <w:color w:val="000000"/>
          <w:kern w:val="2"/>
          <w:highlight w:val="none"/>
        </w:rPr>
      </w:pPr>
      <w:r>
        <w:rPr>
          <w:rFonts w:hint="eastAsia" w:ascii="宋体" w:hAnsi="宋体" w:cs="宋体"/>
          <w:bCs/>
          <w:color w:val="000000"/>
          <w:kern w:val="2"/>
          <w:highlight w:val="none"/>
        </w:rPr>
        <w:t>资产配置策略</w:t>
      </w:r>
    </w:p>
    <w:p>
      <w:pPr>
        <w:pStyle w:val="17"/>
        <w:adjustRightInd/>
        <w:spacing w:line="360" w:lineRule="auto"/>
        <w:rPr>
          <w:rFonts w:ascii="宋体" w:cs="宋体"/>
          <w:color w:val="000000"/>
          <w:sz w:val="21"/>
          <w:szCs w:val="21"/>
          <w:highlight w:val="none"/>
        </w:rPr>
      </w:pPr>
      <w:r>
        <w:rPr>
          <w:rFonts w:hint="eastAsia" w:ascii="宋体" w:hAnsi="宋体" w:cs="宋体"/>
          <w:bCs/>
          <w:color w:val="000000"/>
          <w:kern w:val="2"/>
          <w:highlight w:val="none"/>
        </w:rPr>
        <w:t xml:space="preserve">    将通过对宏观经济形势、各项国家政策、及证券市场环境的分析来判断经济周期目前的位置，主动判断市场时机进行资产配置，确定在各类资产上的投资比例。</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债券投资策略</w:t>
      </w:r>
    </w:p>
    <w:p>
      <w:pPr>
        <w:pStyle w:val="17"/>
        <w:adjustRightInd/>
        <w:spacing w:line="360" w:lineRule="auto"/>
        <w:ind w:firstLine="480" w:firstLineChars="200"/>
        <w:rPr>
          <w:rFonts w:hint="eastAsia" w:ascii="宋体" w:hAnsi="宋体" w:cs="宋体"/>
          <w:bCs/>
          <w:color w:val="000000"/>
          <w:highlight w:val="none"/>
        </w:rPr>
      </w:pPr>
      <w:r>
        <w:rPr>
          <w:rFonts w:hint="eastAsia" w:ascii="宋体" w:hAnsi="宋体" w:cs="宋体"/>
          <w:bCs/>
          <w:color w:val="000000"/>
          <w:kern w:val="2"/>
          <w:highlight w:val="none"/>
        </w:rPr>
        <w:t>管理人本着稳健投资的理念，采用安全性和流动性优先、优选投资品种，采取久期策略和信用策略来获取稳定收益。</w:t>
      </w:r>
    </w:p>
    <w:p>
      <w:pPr>
        <w:keepNext w:val="0"/>
        <w:keepLines w:val="0"/>
        <w:widowControl w:val="0"/>
        <w:numPr>
          <w:ilvl w:val="0"/>
          <w:numId w:val="24"/>
        </w:numPr>
        <w:suppressLineNumbers w:val="0"/>
        <w:spacing w:before="0" w:beforeAutospacing="0" w:after="0" w:afterAutospacing="0" w:line="360" w:lineRule="auto"/>
        <w:ind w:left="0" w:right="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非标准化债权类资产投资策略</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cs="宋体"/>
          <w:bCs/>
          <w:color w:val="000000"/>
          <w:kern w:val="2"/>
          <w:highlight w:val="none"/>
        </w:rPr>
      </w:pPr>
      <w:r>
        <w:rPr>
          <w:rFonts w:hint="eastAsia" w:ascii="宋体" w:hAnsi="宋体" w:eastAsia="宋体" w:cs="宋体"/>
          <w:color w:val="000000"/>
          <w:kern w:val="2"/>
          <w:sz w:val="24"/>
          <w:szCs w:val="24"/>
          <w:lang w:val="en-US" w:eastAsia="zh-CN" w:bidi="ar"/>
        </w:rPr>
        <w:t>管理人发挥自身能力优势，在合规前提下开展风险可控、期限匹配的非标准化债权类资产投资，力争获取稳定收益。</w:t>
      </w:r>
    </w:p>
    <w:p>
      <w:pPr>
        <w:numPr>
          <w:ilvl w:val="0"/>
          <w:numId w:val="2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color w:val="000000"/>
          <w:sz w:val="24"/>
          <w:highlight w:val="none"/>
          <w:lang w:eastAsia="zh-CN"/>
        </w:rPr>
      </w:pPr>
      <w:r>
        <w:rPr>
          <w:rFonts w:hint="eastAsia" w:ascii="宋体" w:hAnsi="宋体" w:cs="宋体"/>
          <w:bCs/>
          <w:color w:val="000000"/>
          <w:sz w:val="24"/>
          <w:highlight w:val="none"/>
          <w:lang w:eastAsia="zh-CN"/>
        </w:rPr>
        <w:t>投资限制中列示的资产品种不代表管理人的实际投向，本理财计划投资范围以“投资范围”章节表述为准。</w:t>
      </w:r>
    </w:p>
    <w:p>
      <w:pPr>
        <w:numPr>
          <w:ilvl w:val="0"/>
          <w:numId w:val="25"/>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投资集中度限制</w:t>
      </w:r>
    </w:p>
    <w:p>
      <w:pPr>
        <w:numPr>
          <w:ilvl w:val="0"/>
          <w:numId w:val="2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本理财计划持有单只证券或单只公募</w:t>
      </w:r>
      <w:r>
        <w:fldChar w:fldCharType="begin"/>
      </w:r>
      <w:r>
        <w:instrText xml:space="preserve"> HYPERLINK "https://baike.baidu.com/item/%E8%AF%81%E5%88%B8%E6%8A%95%E8%B5%84%E5%9F%BA%E9%87%91/3746"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证券投资基金</w:t>
      </w:r>
      <w:r>
        <w:rPr>
          <w:rFonts w:ascii="宋体" w:hAnsi="宋体" w:cs="宋体"/>
          <w:bCs/>
          <w:color w:val="000000"/>
          <w:sz w:val="24"/>
          <w:highlight w:val="none"/>
        </w:rPr>
        <w:fldChar w:fldCharType="end"/>
      </w:r>
      <w:r>
        <w:rPr>
          <w:rFonts w:ascii="宋体" w:hAnsi="宋体" w:cs="宋体"/>
          <w:bCs/>
          <w:color w:val="000000"/>
          <w:sz w:val="24"/>
          <w:highlight w:val="none"/>
        </w:rPr>
        <w:t>的市值不得超过该理财</w:t>
      </w:r>
      <w:r>
        <w:rPr>
          <w:rFonts w:hint="eastAsia" w:ascii="宋体" w:hAnsi="宋体" w:cs="宋体"/>
          <w:bCs/>
          <w:color w:val="000000"/>
          <w:sz w:val="24"/>
          <w:highlight w:val="none"/>
        </w:rPr>
        <w:t>计划</w:t>
      </w:r>
      <w:r>
        <w:rPr>
          <w:rFonts w:ascii="宋体" w:hAnsi="宋体" w:cs="宋体"/>
          <w:bCs/>
          <w:color w:val="000000"/>
          <w:sz w:val="24"/>
          <w:highlight w:val="none"/>
        </w:rPr>
        <w:t>净资产</w:t>
      </w:r>
      <w:r>
        <w:rPr>
          <w:rFonts w:hint="eastAsia" w:ascii="宋体" w:hAnsi="宋体" w:cs="宋体"/>
          <w:bCs/>
          <w:color w:val="000000"/>
          <w:sz w:val="24"/>
          <w:highlight w:val="none"/>
        </w:rPr>
        <w:t>的</w:t>
      </w:r>
      <w:r>
        <w:rPr>
          <w:rFonts w:ascii="宋体" w:hAnsi="宋体" w:cs="宋体"/>
          <w:bCs/>
          <w:color w:val="000000"/>
          <w:sz w:val="24"/>
          <w:highlight w:val="none"/>
        </w:rPr>
        <w:t>10%</w:t>
      </w:r>
      <w:r>
        <w:rPr>
          <w:rFonts w:hint="eastAsia" w:ascii="宋体" w:hAnsi="宋体" w:cs="宋体"/>
          <w:bCs/>
          <w:color w:val="000000"/>
          <w:sz w:val="24"/>
          <w:highlight w:val="none"/>
        </w:rPr>
        <w:t>。</w:t>
      </w:r>
    </w:p>
    <w:p>
      <w:pPr>
        <w:numPr>
          <w:ilvl w:val="0"/>
          <w:numId w:val="2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管理人发行的全部公募理财计划持有单只证券或单只公募证券投资基金的市值，不得超过该证券市值或该公募证券投资基金市值的30%。</w:t>
      </w:r>
    </w:p>
    <w:p>
      <w:pPr>
        <w:numPr>
          <w:ilvl w:val="0"/>
          <w:numId w:val="2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管理人发行的全部理财计划持有单一上市公司发行的股票，不得超过该上市公司可流通股票的30%。</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国务院银行业监督管理机构另有规定的除外。</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5"/>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投资期限限制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本理财计划投资的非标准化债权类资产到期日不得晚于理财计划到期日。</w:t>
      </w:r>
    </w:p>
    <w:p>
      <w:pPr>
        <w:numPr>
          <w:ilvl w:val="0"/>
          <w:numId w:val="25"/>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投资杠杆率限制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本理财计划的总资产不得超过净资产的200%。</w:t>
      </w:r>
    </w:p>
    <w:p>
      <w:pPr>
        <w:numPr>
          <w:ilvl w:val="0"/>
          <w:numId w:val="25"/>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其他投资限制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fldChar w:fldCharType="begin"/>
      </w:r>
      <w:r>
        <w:instrText xml:space="preserve"> HYPERLINK "https://baike.baidu.com/item/%E8%B5%84%E4%BA%A7%E6%94%AF%E6%8C%81%E8%AF%81%E5%88%B8/8989161"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资产支持证券</w:t>
      </w:r>
      <w:r>
        <w:rPr>
          <w:rFonts w:ascii="宋体" w:hAnsi="宋体" w:cs="宋体"/>
          <w:bCs/>
          <w:color w:val="000000"/>
          <w:sz w:val="24"/>
          <w:highlight w:val="none"/>
        </w:rPr>
        <w:fldChar w:fldCharType="end"/>
      </w:r>
      <w:r>
        <w:rPr>
          <w:rFonts w:hint="eastAsia" w:ascii="宋体" w:hAnsi="宋体" w:cs="宋体"/>
          <w:bCs/>
          <w:color w:val="000000"/>
          <w:sz w:val="24"/>
          <w:highlight w:val="none"/>
        </w:rPr>
        <w:t>，不得直接或间接投资于未上市公司股权及其受（收）益权。</w:t>
      </w:r>
    </w:p>
    <w:p>
      <w:pPr>
        <w:numPr>
          <w:ilvl w:val="0"/>
          <w:numId w:val="2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lang w:eastAsia="zh-CN"/>
        </w:rPr>
        <w:t>拟</w:t>
      </w:r>
      <w:r>
        <w:rPr>
          <w:rFonts w:hint="eastAsia" w:ascii="宋体" w:hAnsi="宋体" w:cs="宋体"/>
          <w:b/>
          <w:bCs w:val="0"/>
          <w:color w:val="000000"/>
          <w:sz w:val="24"/>
          <w:highlight w:val="none"/>
          <w:lang w:eastAsia="zh-CN"/>
        </w:rPr>
        <w:t>投资市场、资产的流动性风险评估</w:t>
      </w:r>
    </w:p>
    <w:p>
      <w:pPr>
        <w:numPr>
          <w:ilvl w:val="0"/>
          <w:numId w:val="0"/>
        </w:numPr>
        <w:spacing w:line="360" w:lineRule="auto"/>
        <w:ind w:left="420" w:leftChars="0"/>
        <w:jc w:val="left"/>
        <w:rPr>
          <w:rFonts w:hint="eastAsia" w:ascii="宋体" w:hAnsi="宋体" w:cs="宋体"/>
          <w:b w:val="0"/>
          <w:bCs/>
          <w:color w:val="000000"/>
          <w:sz w:val="24"/>
          <w:highlight w:val="none"/>
          <w:lang w:val="en-US" w:eastAsia="zh-CN"/>
        </w:rPr>
      </w:pPr>
      <w:r>
        <w:rPr>
          <w:rFonts w:hint="eastAsia" w:ascii="宋体" w:hAnsi="宋体" w:cs="宋体"/>
          <w:b w:val="0"/>
          <w:bCs/>
          <w:color w:val="000000"/>
          <w:sz w:val="24"/>
          <w:highlight w:val="none"/>
          <w:lang w:eastAsia="zh-CN"/>
        </w:rPr>
        <w:t>本理财计划</w:t>
      </w:r>
      <w:r>
        <w:rPr>
          <w:rFonts w:hint="eastAsia" w:ascii="宋体" w:hAnsi="宋体" w:cs="宋体"/>
          <w:b w:val="0"/>
          <w:bCs/>
          <w:color w:val="000000"/>
          <w:sz w:val="24"/>
          <w:highlight w:val="none"/>
          <w:lang w:val="en-US" w:eastAsia="zh-CN"/>
        </w:rPr>
        <w:t>拟投资市场可能面临的流动性风险如下：</w:t>
      </w:r>
    </w:p>
    <w:p>
      <w:pPr>
        <w:numPr>
          <w:ilvl w:val="0"/>
          <w:numId w:val="2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投资于</w:t>
      </w:r>
      <w:r>
        <w:rPr>
          <w:rFonts w:hint="eastAsia" w:ascii="宋体" w:hAnsi="宋体" w:cs="宋体"/>
          <w:bCs/>
          <w:color w:val="000000"/>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以上风险仅为列举性质，未能详尽列明拟投资市场和资产面临的全部流动性风险</w:t>
      </w:r>
      <w:r>
        <w:rPr>
          <w:rFonts w:hint="default" w:ascii="宋体" w:hAnsi="宋体" w:cs="宋体"/>
          <w:bCs/>
          <w:color w:val="000000"/>
          <w:sz w:val="24"/>
          <w:highlight w:val="none"/>
          <w:lang w:val="en-US" w:eastAsia="zh-CN"/>
        </w:rPr>
        <w:t>可能导致投资者投资本金及收益损失</w:t>
      </w:r>
      <w:r>
        <w:rPr>
          <w:rFonts w:hint="eastAsia" w:ascii="宋体" w:hAnsi="宋体" w:cs="宋体"/>
          <w:bCs/>
          <w:color w:val="000000"/>
          <w:sz w:val="24"/>
          <w:highlight w:val="none"/>
          <w:lang w:val="en-US" w:eastAsia="zh-CN"/>
        </w:rPr>
        <w:t>或延期兑付</w:t>
      </w:r>
      <w:r>
        <w:rPr>
          <w:rFonts w:hint="default" w:ascii="宋体" w:hAnsi="宋体" w:cs="宋体"/>
          <w:bCs/>
          <w:color w:val="000000"/>
          <w:sz w:val="24"/>
          <w:highlight w:val="none"/>
          <w:lang w:val="en-US" w:eastAsia="zh-CN"/>
        </w:rPr>
        <w:t>的所有因素</w:t>
      </w:r>
      <w:r>
        <w:rPr>
          <w:rFonts w:hint="eastAsia" w:ascii="宋体" w:hAnsi="宋体" w:cs="宋体"/>
          <w:bCs/>
          <w:color w:val="000000"/>
          <w:sz w:val="24"/>
          <w:highlight w:val="none"/>
          <w:lang w:val="en-US" w:eastAsia="zh-CN"/>
        </w:rPr>
        <w:t>。管理人会进行标的的分散化投资并结合对各类标的资产的预期流动性合理进行资产配置，最大程度防范流动性风险。</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合作机构及主要职责</w:t>
      </w:r>
    </w:p>
    <w:p>
      <w:pPr>
        <w:numPr>
          <w:ilvl w:val="0"/>
          <w:numId w:val="2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托管人</w:t>
      </w:r>
    </w:p>
    <w:tbl>
      <w:tblPr>
        <w:tblStyle w:val="8"/>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color w:val="000000"/>
                <w:szCs w:val="21"/>
                <w:highlight w:val="none"/>
              </w:rPr>
            </w:pPr>
            <w:r>
              <w:rPr>
                <w:rFonts w:hint="default" w:ascii="宋体" w:hAnsi="宋体" w:eastAsia="宋体" w:cs="宋体"/>
                <w:bCs/>
                <w:color w:val="000000"/>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kern w:val="2"/>
                <w:sz w:val="21"/>
                <w:szCs w:val="21"/>
                <w:highlight w:val="none"/>
                <w:lang w:val="en-US" w:eastAsia="zh-CN" w:bidi="ar-SA"/>
              </w:rPr>
              <w:t>浙江省杭州市上城区解放东路168号，95398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color w:val="000000"/>
                <w:szCs w:val="21"/>
                <w:highlight w:val="none"/>
              </w:rPr>
            </w:pPr>
            <w:r>
              <w:rPr>
                <w:rFonts w:hint="eastAsia" w:ascii="宋体" w:hAnsi="宋体" w:eastAsia="宋体" w:cs="宋体"/>
                <w:bCs/>
                <w:color w:val="000000"/>
                <w:kern w:val="2"/>
                <w:sz w:val="21"/>
                <w:szCs w:val="21"/>
                <w:highlight w:val="none"/>
                <w:lang w:val="en-US" w:eastAsia="zh-CN" w:bidi="ar-SA"/>
              </w:rPr>
              <w:t>主要提供包括账户开立、资金保管、资金结算、估值核对等理财产品托管服务。</w:t>
            </w:r>
          </w:p>
        </w:tc>
      </w:tr>
    </w:tbl>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销售机构</w:t>
      </w:r>
    </w:p>
    <w:tbl>
      <w:tblPr>
        <w:tblStyle w:val="8"/>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jc w:val="center"/>
            </w:pPr>
            <w:r>
              <w:t>销售机构信息</w:t>
            </w:r>
          </w:p>
        </w:tc>
        <w:tc>
          <w:tcPr>
            <w:tcW w:w="1600" w:type="dxa"/>
            <w:vMerge w:val="restart"/>
            <w:vAlign w:val="center"/>
          </w:tcPr>
          <w:p>
            <w:pPr>
              <w:jc w:val="center"/>
            </w:pPr>
            <w:r>
              <w:t>杭银理财有限责任公司</w:t>
            </w:r>
          </w:p>
        </w:tc>
        <w:tc>
          <w:tcPr>
            <w:tcW w:w="1200" w:type="dxa"/>
            <w:vAlign w:val="center"/>
          </w:tcPr>
          <w:p>
            <w:pPr>
              <w:jc w:val="left"/>
            </w:pPr>
            <w:r>
              <w:t>住所</w:t>
            </w:r>
          </w:p>
        </w:tc>
        <w:tc>
          <w:tcPr>
            <w:tcW w:w="3800" w:type="dxa"/>
            <w:vAlign w:val="center"/>
          </w:tcPr>
          <w:p>
            <w:pPr>
              <w:jc w:val="center"/>
            </w:pPr>
            <w: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东山县农村信用合作联社</w:t>
            </w:r>
          </w:p>
        </w:tc>
        <w:tc>
          <w:tcPr>
            <w:tcW w:w="1200" w:type="dxa"/>
            <w:vAlign w:val="center"/>
          </w:tcPr>
          <w:p>
            <w:pPr>
              <w:jc w:val="left"/>
            </w:pPr>
            <w:r>
              <w:t>住所</w:t>
            </w:r>
          </w:p>
        </w:tc>
        <w:tc>
          <w:tcPr>
            <w:tcW w:w="3800" w:type="dxa"/>
            <w:vAlign w:val="center"/>
          </w:tcPr>
          <w:p>
            <w:pPr>
              <w:jc w:val="center"/>
            </w:pPr>
            <w:r>
              <w:t>东山县西埔镇白石街泽园路348号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东莞农村商业银行股份有限公司</w:t>
            </w:r>
          </w:p>
        </w:tc>
        <w:tc>
          <w:tcPr>
            <w:tcW w:w="1200" w:type="dxa"/>
            <w:vAlign w:val="center"/>
          </w:tcPr>
          <w:p>
            <w:pPr>
              <w:jc w:val="left"/>
            </w:pPr>
            <w:r>
              <w:t>住所</w:t>
            </w:r>
          </w:p>
        </w:tc>
        <w:tc>
          <w:tcPr>
            <w:tcW w:w="3800" w:type="dxa"/>
            <w:vAlign w:val="center"/>
          </w:tcPr>
          <w:p>
            <w:pPr>
              <w:jc w:val="center"/>
            </w:pPr>
            <w:r>
              <w:t>广东省东莞市东城街道鸿福东路2号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0769-961122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中山农村商业银行股份有限公司</w:t>
            </w:r>
          </w:p>
        </w:tc>
        <w:tc>
          <w:tcPr>
            <w:tcW w:w="1200" w:type="dxa"/>
            <w:vAlign w:val="center"/>
          </w:tcPr>
          <w:p>
            <w:pPr>
              <w:jc w:val="left"/>
            </w:pPr>
            <w:r>
              <w:t>住所</w:t>
            </w:r>
          </w:p>
        </w:tc>
        <w:tc>
          <w:tcPr>
            <w:tcW w:w="3800" w:type="dxa"/>
            <w:vAlign w:val="center"/>
          </w:tcPr>
          <w:p>
            <w:pPr>
              <w:jc w:val="center"/>
            </w:pPr>
            <w:r>
              <w:t>中山市东区中山三路26号之一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0760-23327126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乌鲁木齐银行股份有限公司</w:t>
            </w:r>
          </w:p>
        </w:tc>
        <w:tc>
          <w:tcPr>
            <w:tcW w:w="1200" w:type="dxa"/>
            <w:vAlign w:val="center"/>
          </w:tcPr>
          <w:p>
            <w:pPr>
              <w:jc w:val="left"/>
            </w:pPr>
            <w:r>
              <w:t>住所</w:t>
            </w:r>
          </w:p>
        </w:tc>
        <w:tc>
          <w:tcPr>
            <w:tcW w:w="3800" w:type="dxa"/>
            <w:vAlign w:val="center"/>
          </w:tcPr>
          <w:p>
            <w:pPr>
              <w:jc w:val="center"/>
            </w:pPr>
            <w:r>
              <w:t>新疆乌鲁木齐市水磨沟区会展大道599号新疆财富中心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099196518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九江银行股份有限公司</w:t>
            </w:r>
          </w:p>
        </w:tc>
        <w:tc>
          <w:tcPr>
            <w:tcW w:w="1200" w:type="dxa"/>
            <w:vAlign w:val="center"/>
          </w:tcPr>
          <w:p>
            <w:pPr>
              <w:jc w:val="left"/>
            </w:pPr>
            <w:r>
              <w:t>住所</w:t>
            </w:r>
          </w:p>
        </w:tc>
        <w:tc>
          <w:tcPr>
            <w:tcW w:w="3800" w:type="dxa"/>
            <w:vAlign w:val="center"/>
          </w:tcPr>
          <w:p>
            <w:pPr>
              <w:jc w:val="center"/>
            </w:pPr>
            <w:r>
              <w:t>江西省九江市濂溪区长虹大道619号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云南红塔银行股份有限公司</w:t>
            </w:r>
          </w:p>
        </w:tc>
        <w:tc>
          <w:tcPr>
            <w:tcW w:w="1200" w:type="dxa"/>
            <w:vAlign w:val="center"/>
          </w:tcPr>
          <w:p>
            <w:pPr>
              <w:jc w:val="left"/>
            </w:pPr>
            <w:r>
              <w:t>住所</w:t>
            </w:r>
          </w:p>
        </w:tc>
        <w:tc>
          <w:tcPr>
            <w:tcW w:w="3800" w:type="dxa"/>
            <w:vAlign w:val="center"/>
          </w:tcPr>
          <w:p>
            <w:pPr>
              <w:jc w:val="center"/>
            </w:pPr>
            <w:r>
              <w:t>云南省玉溪市东风南路2号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0871-65236622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华安县农村信用合作联社</w:t>
            </w:r>
          </w:p>
        </w:tc>
        <w:tc>
          <w:tcPr>
            <w:tcW w:w="1200" w:type="dxa"/>
            <w:vAlign w:val="center"/>
          </w:tcPr>
          <w:p>
            <w:pPr>
              <w:jc w:val="left"/>
            </w:pPr>
            <w:r>
              <w:t>住所</w:t>
            </w:r>
          </w:p>
        </w:tc>
        <w:tc>
          <w:tcPr>
            <w:tcW w:w="3800" w:type="dxa"/>
            <w:vAlign w:val="center"/>
          </w:tcPr>
          <w:p>
            <w:pPr>
              <w:jc w:val="center"/>
            </w:pPr>
            <w:r>
              <w:t>华安县城关大同路66号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南京银行股份有限公司</w:t>
            </w:r>
          </w:p>
        </w:tc>
        <w:tc>
          <w:tcPr>
            <w:tcW w:w="1200" w:type="dxa"/>
            <w:vAlign w:val="center"/>
          </w:tcPr>
          <w:p>
            <w:pPr>
              <w:jc w:val="left"/>
            </w:pPr>
            <w:r>
              <w:t>住所</w:t>
            </w:r>
          </w:p>
        </w:tc>
        <w:tc>
          <w:tcPr>
            <w:tcW w:w="3800" w:type="dxa"/>
            <w:vAlign w:val="center"/>
          </w:tcPr>
          <w:p>
            <w:pPr>
              <w:jc w:val="center"/>
            </w:pPr>
            <w:r>
              <w:t>南京市建邺区江山大街88号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南平市建阳区农村信用合作联社</w:t>
            </w:r>
          </w:p>
        </w:tc>
        <w:tc>
          <w:tcPr>
            <w:tcW w:w="1200" w:type="dxa"/>
            <w:vAlign w:val="center"/>
          </w:tcPr>
          <w:p>
            <w:pPr>
              <w:jc w:val="left"/>
            </w:pPr>
            <w:r>
              <w:t>住所</w:t>
            </w:r>
          </w:p>
        </w:tc>
        <w:tc>
          <w:tcPr>
            <w:tcW w:w="3800" w:type="dxa"/>
            <w:vAlign w:val="center"/>
          </w:tcPr>
          <w:p>
            <w:pPr>
              <w:jc w:val="center"/>
            </w:pPr>
            <w:r>
              <w:t>南平市建阳区人民路11号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南靖县农村信用合作联社</w:t>
            </w:r>
          </w:p>
        </w:tc>
        <w:tc>
          <w:tcPr>
            <w:tcW w:w="1200" w:type="dxa"/>
            <w:vAlign w:val="center"/>
          </w:tcPr>
          <w:p>
            <w:pPr>
              <w:jc w:val="left"/>
            </w:pPr>
            <w:r>
              <w:t>住所</w:t>
            </w:r>
          </w:p>
        </w:tc>
        <w:tc>
          <w:tcPr>
            <w:tcW w:w="3800" w:type="dxa"/>
            <w:vAlign w:val="center"/>
          </w:tcPr>
          <w:p>
            <w:pPr>
              <w:jc w:val="center"/>
            </w:pPr>
            <w:r>
              <w:t>南靖县山城镇中山北路47号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厦门农村商业银行股份有限公司</w:t>
            </w:r>
          </w:p>
        </w:tc>
        <w:tc>
          <w:tcPr>
            <w:tcW w:w="1200" w:type="dxa"/>
            <w:vAlign w:val="center"/>
          </w:tcPr>
          <w:p>
            <w:pPr>
              <w:jc w:val="left"/>
            </w:pPr>
            <w:r>
              <w:t>住所</w:t>
            </w:r>
          </w:p>
        </w:tc>
        <w:tc>
          <w:tcPr>
            <w:tcW w:w="3800" w:type="dxa"/>
            <w:vAlign w:val="center"/>
          </w:tcPr>
          <w:p>
            <w:pPr>
              <w:jc w:val="center"/>
            </w:pPr>
            <w:r>
              <w:t>中国(福建)自由贸易试验区厦门片区东港北路31号(1层、17层、19层、27-28层、30-31层)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厦门国际银行股份有限公司</w:t>
            </w:r>
          </w:p>
        </w:tc>
        <w:tc>
          <w:tcPr>
            <w:tcW w:w="1200" w:type="dxa"/>
            <w:vAlign w:val="center"/>
          </w:tcPr>
          <w:p>
            <w:pPr>
              <w:jc w:val="left"/>
            </w:pPr>
            <w:r>
              <w:t>住所</w:t>
            </w:r>
          </w:p>
        </w:tc>
        <w:tc>
          <w:tcPr>
            <w:tcW w:w="3800" w:type="dxa"/>
            <w:vAlign w:val="center"/>
          </w:tcPr>
          <w:p>
            <w:pPr>
              <w:jc w:val="center"/>
            </w:pPr>
            <w:r>
              <w:t>厦门市思明区鹭江道8-10号国际银行大厦1-6层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厦门银行股份有限公司</w:t>
            </w:r>
          </w:p>
        </w:tc>
        <w:tc>
          <w:tcPr>
            <w:tcW w:w="1200" w:type="dxa"/>
            <w:vAlign w:val="center"/>
          </w:tcPr>
          <w:p>
            <w:pPr>
              <w:jc w:val="left"/>
            </w:pPr>
            <w:r>
              <w:t>住所</w:t>
            </w:r>
          </w:p>
        </w:tc>
        <w:tc>
          <w:tcPr>
            <w:tcW w:w="3800" w:type="dxa"/>
            <w:vAlign w:val="center"/>
          </w:tcPr>
          <w:p>
            <w:pPr>
              <w:jc w:val="center"/>
            </w:pPr>
            <w:r>
              <w:t>厦门市思明区湖滨北路101号商业银行大厦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400-858-8888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古田县农村信用合作联社</w:t>
            </w:r>
          </w:p>
        </w:tc>
        <w:tc>
          <w:tcPr>
            <w:tcW w:w="1200" w:type="dxa"/>
            <w:vAlign w:val="center"/>
          </w:tcPr>
          <w:p>
            <w:pPr>
              <w:jc w:val="left"/>
            </w:pPr>
            <w:r>
              <w:t>住所</w:t>
            </w:r>
          </w:p>
        </w:tc>
        <w:tc>
          <w:tcPr>
            <w:tcW w:w="3800" w:type="dxa"/>
            <w:vAlign w:val="center"/>
          </w:tcPr>
          <w:p>
            <w:pPr>
              <w:jc w:val="center"/>
            </w:pPr>
            <w:r>
              <w:t>古田县城东解放路192号B</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台州银行股份有限公司</w:t>
            </w:r>
          </w:p>
        </w:tc>
        <w:tc>
          <w:tcPr>
            <w:tcW w:w="1200" w:type="dxa"/>
            <w:vAlign w:val="center"/>
          </w:tcPr>
          <w:p>
            <w:pPr>
              <w:jc w:val="left"/>
            </w:pPr>
            <w:r>
              <w:t>住所</w:t>
            </w:r>
          </w:p>
        </w:tc>
        <w:tc>
          <w:tcPr>
            <w:tcW w:w="3800" w:type="dxa"/>
            <w:vAlign w:val="center"/>
          </w:tcPr>
          <w:p>
            <w:pPr>
              <w:jc w:val="center"/>
            </w:pPr>
            <w:r>
              <w:t>浙江省台州市路桥区南官大道92号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0576-81896013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吉林银行股份有限公司</w:t>
            </w:r>
          </w:p>
        </w:tc>
        <w:tc>
          <w:tcPr>
            <w:tcW w:w="1200" w:type="dxa"/>
            <w:vAlign w:val="center"/>
          </w:tcPr>
          <w:p>
            <w:pPr>
              <w:jc w:val="left"/>
            </w:pPr>
            <w:r>
              <w:t>住所</w:t>
            </w:r>
          </w:p>
        </w:tc>
        <w:tc>
          <w:tcPr>
            <w:tcW w:w="3800" w:type="dxa"/>
            <w:vAlign w:val="center"/>
          </w:tcPr>
          <w:p>
            <w:pPr>
              <w:jc w:val="center"/>
            </w:pPr>
            <w:r>
              <w:t>经济开发区东南湖大路1817号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0431-84999543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大田县农村信用合作联社</w:t>
            </w:r>
          </w:p>
        </w:tc>
        <w:tc>
          <w:tcPr>
            <w:tcW w:w="1200" w:type="dxa"/>
            <w:vAlign w:val="center"/>
          </w:tcPr>
          <w:p>
            <w:pPr>
              <w:jc w:val="left"/>
            </w:pPr>
            <w:r>
              <w:t>住所</w:t>
            </w:r>
          </w:p>
        </w:tc>
        <w:tc>
          <w:tcPr>
            <w:tcW w:w="3800" w:type="dxa"/>
            <w:vAlign w:val="center"/>
          </w:tcPr>
          <w:p>
            <w:pPr>
              <w:jc w:val="center"/>
            </w:pPr>
            <w:r>
              <w:t>福建省三明市大田县均溪镇赤岩山路2号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大连农村商业银行股份有限公司</w:t>
            </w:r>
          </w:p>
        </w:tc>
        <w:tc>
          <w:tcPr>
            <w:tcW w:w="1200" w:type="dxa"/>
            <w:vAlign w:val="center"/>
          </w:tcPr>
          <w:p>
            <w:pPr>
              <w:jc w:val="left"/>
            </w:pPr>
            <w:r>
              <w:t>住所</w:t>
            </w:r>
          </w:p>
        </w:tc>
        <w:tc>
          <w:tcPr>
            <w:tcW w:w="3800" w:type="dxa"/>
            <w:vAlign w:val="center"/>
          </w:tcPr>
          <w:p>
            <w:pPr>
              <w:jc w:val="center"/>
            </w:pPr>
            <w:r>
              <w:t>辽宁省大连经济技术开发区五彩城A区1栋-A1号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96689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天津农村商业银行股份有限公司</w:t>
            </w:r>
          </w:p>
        </w:tc>
        <w:tc>
          <w:tcPr>
            <w:tcW w:w="1200" w:type="dxa"/>
            <w:vAlign w:val="center"/>
          </w:tcPr>
          <w:p>
            <w:pPr>
              <w:jc w:val="left"/>
            </w:pPr>
            <w:r>
              <w:t>住所</w:t>
            </w:r>
          </w:p>
        </w:tc>
        <w:tc>
          <w:tcPr>
            <w:tcW w:w="3800" w:type="dxa"/>
            <w:vAlign w:val="center"/>
          </w:tcPr>
          <w:p>
            <w:pPr>
              <w:jc w:val="center"/>
            </w:pPr>
            <w:r>
              <w:t>天津市河西区友谊路32号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022-83875555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天津滨海农村商业银行股份有限公司</w:t>
            </w:r>
          </w:p>
        </w:tc>
        <w:tc>
          <w:tcPr>
            <w:tcW w:w="1200" w:type="dxa"/>
            <w:vAlign w:val="center"/>
          </w:tcPr>
          <w:p>
            <w:pPr>
              <w:jc w:val="left"/>
            </w:pPr>
            <w:r>
              <w:t>住所</w:t>
            </w:r>
          </w:p>
        </w:tc>
        <w:tc>
          <w:tcPr>
            <w:tcW w:w="3800" w:type="dxa"/>
            <w:vAlign w:val="center"/>
          </w:tcPr>
          <w:p>
            <w:pPr>
              <w:jc w:val="center"/>
            </w:pPr>
            <w:r>
              <w:t>天津自贸试验区（空港经济区）西三道158号金融中心1号楼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022-96156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威海银行股份有限公司</w:t>
            </w:r>
          </w:p>
        </w:tc>
        <w:tc>
          <w:tcPr>
            <w:tcW w:w="1200" w:type="dxa"/>
            <w:vAlign w:val="center"/>
          </w:tcPr>
          <w:p>
            <w:pPr>
              <w:jc w:val="left"/>
            </w:pPr>
            <w:r>
              <w:t>住所</w:t>
            </w:r>
          </w:p>
        </w:tc>
        <w:tc>
          <w:tcPr>
            <w:tcW w:w="3800" w:type="dxa"/>
            <w:vAlign w:val="center"/>
          </w:tcPr>
          <w:p>
            <w:pPr>
              <w:jc w:val="center"/>
            </w:pPr>
            <w:r>
              <w:t>威海市青岛北路137A号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96636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宁化县农村信用合作联社</w:t>
            </w:r>
          </w:p>
        </w:tc>
        <w:tc>
          <w:tcPr>
            <w:tcW w:w="1200" w:type="dxa"/>
            <w:vAlign w:val="center"/>
          </w:tcPr>
          <w:p>
            <w:pPr>
              <w:jc w:val="left"/>
            </w:pPr>
            <w:r>
              <w:t>住所</w:t>
            </w:r>
          </w:p>
        </w:tc>
        <w:tc>
          <w:tcPr>
            <w:tcW w:w="3800" w:type="dxa"/>
            <w:vAlign w:val="center"/>
          </w:tcPr>
          <w:p>
            <w:pPr>
              <w:jc w:val="center"/>
            </w:pPr>
            <w:r>
              <w:t>宁化县翠江镇中环南路中环花园4幢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宁波鄞州农村商业银行股份有限公司</w:t>
            </w:r>
          </w:p>
        </w:tc>
        <w:tc>
          <w:tcPr>
            <w:tcW w:w="1200" w:type="dxa"/>
            <w:vAlign w:val="center"/>
          </w:tcPr>
          <w:p>
            <w:pPr>
              <w:jc w:val="left"/>
            </w:pPr>
            <w:r>
              <w:t>住所</w:t>
            </w:r>
          </w:p>
        </w:tc>
        <w:tc>
          <w:tcPr>
            <w:tcW w:w="3800" w:type="dxa"/>
            <w:vAlign w:val="center"/>
          </w:tcPr>
          <w:p>
            <w:pPr>
              <w:jc w:val="center"/>
            </w:pPr>
            <w:r>
              <w:t>浙江省宁波市鄞州区民惠西路88号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0574-87412766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寿宁县农村信用合作联社</w:t>
            </w:r>
          </w:p>
        </w:tc>
        <w:tc>
          <w:tcPr>
            <w:tcW w:w="1200" w:type="dxa"/>
            <w:vAlign w:val="center"/>
          </w:tcPr>
          <w:p>
            <w:pPr>
              <w:jc w:val="left"/>
            </w:pPr>
            <w:r>
              <w:t>住所</w:t>
            </w:r>
          </w:p>
        </w:tc>
        <w:tc>
          <w:tcPr>
            <w:tcW w:w="3800" w:type="dxa"/>
            <w:vAlign w:val="center"/>
          </w:tcPr>
          <w:p>
            <w:pPr>
              <w:jc w:val="center"/>
            </w:pPr>
            <w:r>
              <w:t>福建省宁德市寿宁县鳌阳镇东区梦龙街5号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将乐县农村信用合作联社</w:t>
            </w:r>
          </w:p>
        </w:tc>
        <w:tc>
          <w:tcPr>
            <w:tcW w:w="1200" w:type="dxa"/>
            <w:vAlign w:val="center"/>
          </w:tcPr>
          <w:p>
            <w:pPr>
              <w:jc w:val="left"/>
            </w:pPr>
            <w:r>
              <w:t>住所</w:t>
            </w:r>
          </w:p>
        </w:tc>
        <w:tc>
          <w:tcPr>
            <w:tcW w:w="3800" w:type="dxa"/>
            <w:vAlign w:val="center"/>
          </w:tcPr>
          <w:p>
            <w:pPr>
              <w:jc w:val="center"/>
            </w:pPr>
            <w:r>
              <w:t>将乐县三华南路27号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尤溪县农村信用合作联社</w:t>
            </w:r>
          </w:p>
        </w:tc>
        <w:tc>
          <w:tcPr>
            <w:tcW w:w="1200" w:type="dxa"/>
            <w:vAlign w:val="center"/>
          </w:tcPr>
          <w:p>
            <w:pPr>
              <w:jc w:val="left"/>
            </w:pPr>
            <w:r>
              <w:t>住所</w:t>
            </w:r>
          </w:p>
        </w:tc>
        <w:tc>
          <w:tcPr>
            <w:tcW w:w="3800" w:type="dxa"/>
            <w:vAlign w:val="center"/>
          </w:tcPr>
          <w:p>
            <w:pPr>
              <w:jc w:val="center"/>
            </w:pPr>
            <w:r>
              <w:t>尤溪县城关解放路39号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屏南县农村信用合作联社</w:t>
            </w:r>
          </w:p>
        </w:tc>
        <w:tc>
          <w:tcPr>
            <w:tcW w:w="1200" w:type="dxa"/>
            <w:vAlign w:val="center"/>
          </w:tcPr>
          <w:p>
            <w:pPr>
              <w:jc w:val="left"/>
            </w:pPr>
            <w:r>
              <w:t>住所</w:t>
            </w:r>
          </w:p>
        </w:tc>
        <w:tc>
          <w:tcPr>
            <w:tcW w:w="3800" w:type="dxa"/>
            <w:vAlign w:val="center"/>
          </w:tcPr>
          <w:p>
            <w:pPr>
              <w:jc w:val="center"/>
            </w:pPr>
            <w:r>
              <w:t>屏南县古峰镇翠屏南路135号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山西银行股份有限公司</w:t>
            </w:r>
          </w:p>
        </w:tc>
        <w:tc>
          <w:tcPr>
            <w:tcW w:w="1200" w:type="dxa"/>
            <w:vAlign w:val="center"/>
          </w:tcPr>
          <w:p>
            <w:pPr>
              <w:jc w:val="left"/>
            </w:pPr>
            <w:r>
              <w:t>住所</w:t>
            </w:r>
          </w:p>
        </w:tc>
        <w:tc>
          <w:tcPr>
            <w:tcW w:w="3800" w:type="dxa"/>
            <w:vAlign w:val="center"/>
          </w:tcPr>
          <w:p>
            <w:pPr>
              <w:jc w:val="center"/>
            </w:pPr>
            <w:r>
              <w:t>山西转型综合改革示范区学府产业园高新街15号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0351-96588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广发银行股份有限公司</w:t>
            </w:r>
          </w:p>
        </w:tc>
        <w:tc>
          <w:tcPr>
            <w:tcW w:w="1200" w:type="dxa"/>
            <w:vAlign w:val="center"/>
          </w:tcPr>
          <w:p>
            <w:pPr>
              <w:jc w:val="left"/>
            </w:pPr>
            <w:r>
              <w:t>住所</w:t>
            </w:r>
          </w:p>
        </w:tc>
        <w:tc>
          <w:tcPr>
            <w:tcW w:w="3800" w:type="dxa"/>
            <w:vAlign w:val="center"/>
          </w:tcPr>
          <w:p>
            <w:pPr>
              <w:jc w:val="center"/>
            </w:pPr>
            <w:r>
              <w:t>广州市越秀区东风东路713号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02038322606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广州农村商业银行股份有限公司</w:t>
            </w:r>
          </w:p>
        </w:tc>
        <w:tc>
          <w:tcPr>
            <w:tcW w:w="1200" w:type="dxa"/>
            <w:vAlign w:val="center"/>
          </w:tcPr>
          <w:p>
            <w:pPr>
              <w:jc w:val="left"/>
            </w:pPr>
            <w:r>
              <w:t>住所</w:t>
            </w:r>
          </w:p>
        </w:tc>
        <w:tc>
          <w:tcPr>
            <w:tcW w:w="3800" w:type="dxa"/>
            <w:vAlign w:val="center"/>
          </w:tcPr>
          <w:p>
            <w:pPr>
              <w:jc w:val="center"/>
            </w:pPr>
            <w:r>
              <w:t>广州市黄埔区映日路9号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德化县农村信用合作联社</w:t>
            </w:r>
          </w:p>
        </w:tc>
        <w:tc>
          <w:tcPr>
            <w:tcW w:w="1200" w:type="dxa"/>
            <w:vAlign w:val="center"/>
          </w:tcPr>
          <w:p>
            <w:pPr>
              <w:jc w:val="left"/>
            </w:pPr>
            <w:r>
              <w:t>住所</w:t>
            </w:r>
          </w:p>
        </w:tc>
        <w:tc>
          <w:tcPr>
            <w:tcW w:w="3800" w:type="dxa"/>
            <w:vAlign w:val="center"/>
          </w:tcPr>
          <w:p>
            <w:pPr>
              <w:jc w:val="center"/>
            </w:pPr>
            <w:r>
              <w:t>福建省泉州市德化县浔中镇浔东北路中段福万通大厦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惠安县农村信用合作联社</w:t>
            </w:r>
          </w:p>
        </w:tc>
        <w:tc>
          <w:tcPr>
            <w:tcW w:w="1200" w:type="dxa"/>
            <w:vAlign w:val="center"/>
          </w:tcPr>
          <w:p>
            <w:pPr>
              <w:jc w:val="left"/>
            </w:pPr>
            <w:r>
              <w:t>住所</w:t>
            </w:r>
          </w:p>
        </w:tc>
        <w:tc>
          <w:tcPr>
            <w:tcW w:w="3800" w:type="dxa"/>
            <w:vAlign w:val="center"/>
          </w:tcPr>
          <w:p>
            <w:pPr>
              <w:jc w:val="center"/>
            </w:pPr>
            <w:r>
              <w:t>螺城镇建设南路118号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成都农村商业银行股份有限公司</w:t>
            </w:r>
          </w:p>
        </w:tc>
        <w:tc>
          <w:tcPr>
            <w:tcW w:w="1200" w:type="dxa"/>
            <w:vAlign w:val="center"/>
          </w:tcPr>
          <w:p>
            <w:pPr>
              <w:jc w:val="left"/>
            </w:pPr>
            <w:r>
              <w:t>住所</w:t>
            </w:r>
          </w:p>
        </w:tc>
        <w:tc>
          <w:tcPr>
            <w:tcW w:w="3800" w:type="dxa"/>
            <w:vAlign w:val="center"/>
          </w:tcPr>
          <w:p>
            <w:pPr>
              <w:jc w:val="center"/>
            </w:pPr>
            <w:r>
              <w:t>成都市武侯区科华中路88号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政和县农村信用合作联社</w:t>
            </w:r>
          </w:p>
        </w:tc>
        <w:tc>
          <w:tcPr>
            <w:tcW w:w="1200" w:type="dxa"/>
            <w:vAlign w:val="center"/>
          </w:tcPr>
          <w:p>
            <w:pPr>
              <w:jc w:val="left"/>
            </w:pPr>
            <w:r>
              <w:t>住所</w:t>
            </w:r>
          </w:p>
        </w:tc>
        <w:tc>
          <w:tcPr>
            <w:tcW w:w="3800" w:type="dxa"/>
            <w:vAlign w:val="center"/>
          </w:tcPr>
          <w:p>
            <w:pPr>
              <w:jc w:val="center"/>
            </w:pPr>
            <w:r>
              <w:t>政和县城关西大街为民路4号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新疆银行股份有限公司</w:t>
            </w:r>
          </w:p>
        </w:tc>
        <w:tc>
          <w:tcPr>
            <w:tcW w:w="1200" w:type="dxa"/>
            <w:vAlign w:val="center"/>
          </w:tcPr>
          <w:p>
            <w:pPr>
              <w:jc w:val="left"/>
            </w:pPr>
            <w:r>
              <w:t>住所</w:t>
            </w:r>
          </w:p>
        </w:tc>
        <w:tc>
          <w:tcPr>
            <w:tcW w:w="3800" w:type="dxa"/>
            <w:vAlign w:val="center"/>
          </w:tcPr>
          <w:p>
            <w:pPr>
              <w:jc w:val="center"/>
            </w:pPr>
            <w:r>
              <w:t>新疆乌鲁木齐市天山区新华南路338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0991-96559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无锡农村商业银行股份有限公司</w:t>
            </w:r>
          </w:p>
        </w:tc>
        <w:tc>
          <w:tcPr>
            <w:tcW w:w="1200" w:type="dxa"/>
            <w:vAlign w:val="center"/>
          </w:tcPr>
          <w:p>
            <w:pPr>
              <w:jc w:val="left"/>
            </w:pPr>
            <w:r>
              <w:t>住所</w:t>
            </w:r>
          </w:p>
        </w:tc>
        <w:tc>
          <w:tcPr>
            <w:tcW w:w="3800" w:type="dxa"/>
            <w:vAlign w:val="center"/>
          </w:tcPr>
          <w:p>
            <w:pPr>
              <w:jc w:val="center"/>
            </w:pPr>
            <w:r>
              <w:t>江苏省无锡市锡山区延庆街11号、丹山路66-3、66-1301号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昆仑银行股份有限公司</w:t>
            </w:r>
          </w:p>
        </w:tc>
        <w:tc>
          <w:tcPr>
            <w:tcW w:w="1200" w:type="dxa"/>
            <w:vAlign w:val="center"/>
          </w:tcPr>
          <w:p>
            <w:pPr>
              <w:jc w:val="left"/>
            </w:pPr>
            <w:r>
              <w:t>住所</w:t>
            </w:r>
          </w:p>
        </w:tc>
        <w:tc>
          <w:tcPr>
            <w:tcW w:w="3800" w:type="dxa"/>
            <w:vAlign w:val="center"/>
          </w:tcPr>
          <w:p>
            <w:pPr>
              <w:jc w:val="center"/>
            </w:pPr>
            <w:r>
              <w:t>新疆克拉玛依市世纪大道7号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明溪县农村信用合作联社</w:t>
            </w:r>
          </w:p>
        </w:tc>
        <w:tc>
          <w:tcPr>
            <w:tcW w:w="1200" w:type="dxa"/>
            <w:vAlign w:val="center"/>
          </w:tcPr>
          <w:p>
            <w:pPr>
              <w:jc w:val="left"/>
            </w:pPr>
            <w:r>
              <w:t>住所</w:t>
            </w:r>
          </w:p>
        </w:tc>
        <w:tc>
          <w:tcPr>
            <w:tcW w:w="3800" w:type="dxa"/>
            <w:vAlign w:val="center"/>
          </w:tcPr>
          <w:p>
            <w:pPr>
              <w:jc w:val="center"/>
            </w:pPr>
            <w:r>
              <w:t>明溪县雪峰镇河滨北路339号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晋商银行股份有限公司</w:t>
            </w:r>
          </w:p>
        </w:tc>
        <w:tc>
          <w:tcPr>
            <w:tcW w:w="1200" w:type="dxa"/>
            <w:vAlign w:val="center"/>
          </w:tcPr>
          <w:p>
            <w:pPr>
              <w:jc w:val="left"/>
            </w:pPr>
            <w:r>
              <w:t>住所</w:t>
            </w:r>
          </w:p>
        </w:tc>
        <w:tc>
          <w:tcPr>
            <w:tcW w:w="3800" w:type="dxa"/>
            <w:vAlign w:val="center"/>
          </w:tcPr>
          <w:p>
            <w:pPr>
              <w:jc w:val="center"/>
            </w:pPr>
            <w:r>
              <w:t>中国山西省太原市小店区长风街59号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9510-5588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曲靖市商业银行股份有限公司</w:t>
            </w:r>
          </w:p>
        </w:tc>
        <w:tc>
          <w:tcPr>
            <w:tcW w:w="1200" w:type="dxa"/>
            <w:vAlign w:val="center"/>
          </w:tcPr>
          <w:p>
            <w:pPr>
              <w:jc w:val="left"/>
            </w:pPr>
            <w:r>
              <w:t>住所</w:t>
            </w:r>
          </w:p>
        </w:tc>
        <w:tc>
          <w:tcPr>
            <w:tcW w:w="3800" w:type="dxa"/>
            <w:vAlign w:val="center"/>
          </w:tcPr>
          <w:p>
            <w:pPr>
              <w:jc w:val="center"/>
            </w:pPr>
            <w:r>
              <w:t>云南省曲靖市麒麟区南宁西路21号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0874-8981222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松溪县农村信用合作联社</w:t>
            </w:r>
          </w:p>
        </w:tc>
        <w:tc>
          <w:tcPr>
            <w:tcW w:w="1200" w:type="dxa"/>
            <w:vAlign w:val="center"/>
          </w:tcPr>
          <w:p>
            <w:pPr>
              <w:jc w:val="left"/>
            </w:pPr>
            <w:r>
              <w:t>住所</w:t>
            </w:r>
          </w:p>
        </w:tc>
        <w:tc>
          <w:tcPr>
            <w:tcW w:w="3800" w:type="dxa"/>
            <w:vAlign w:val="center"/>
          </w:tcPr>
          <w:p>
            <w:pPr>
              <w:jc w:val="center"/>
            </w:pPr>
            <w:r>
              <w:t>松溪县工农东路1号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柘荣县农村信用合作联社股份有限公司</w:t>
            </w:r>
          </w:p>
        </w:tc>
        <w:tc>
          <w:tcPr>
            <w:tcW w:w="1200" w:type="dxa"/>
            <w:vAlign w:val="center"/>
          </w:tcPr>
          <w:p>
            <w:pPr>
              <w:jc w:val="left"/>
            </w:pPr>
            <w:r>
              <w:t>住所</w:t>
            </w:r>
          </w:p>
        </w:tc>
        <w:tc>
          <w:tcPr>
            <w:tcW w:w="3800" w:type="dxa"/>
            <w:vAlign w:val="center"/>
          </w:tcPr>
          <w:p>
            <w:pPr>
              <w:jc w:val="center"/>
            </w:pPr>
            <w:r>
              <w:t>柘荣县615西路2号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武平县农村信用合作联社</w:t>
            </w:r>
          </w:p>
        </w:tc>
        <w:tc>
          <w:tcPr>
            <w:tcW w:w="1200" w:type="dxa"/>
            <w:vAlign w:val="center"/>
          </w:tcPr>
          <w:p>
            <w:pPr>
              <w:jc w:val="left"/>
            </w:pPr>
            <w:r>
              <w:t>住所</w:t>
            </w:r>
          </w:p>
        </w:tc>
        <w:tc>
          <w:tcPr>
            <w:tcW w:w="3800" w:type="dxa"/>
            <w:vAlign w:val="center"/>
          </w:tcPr>
          <w:p>
            <w:pPr>
              <w:jc w:val="center"/>
            </w:pPr>
            <w:r>
              <w:t>福建省龙岩市武平县武平大道18号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永春县农村信用合作联社</w:t>
            </w:r>
          </w:p>
        </w:tc>
        <w:tc>
          <w:tcPr>
            <w:tcW w:w="1200" w:type="dxa"/>
            <w:vAlign w:val="center"/>
          </w:tcPr>
          <w:p>
            <w:pPr>
              <w:jc w:val="left"/>
            </w:pPr>
            <w:r>
              <w:t>住所</w:t>
            </w:r>
          </w:p>
        </w:tc>
        <w:tc>
          <w:tcPr>
            <w:tcW w:w="3800" w:type="dxa"/>
            <w:vAlign w:val="center"/>
          </w:tcPr>
          <w:p>
            <w:pPr>
              <w:jc w:val="center"/>
            </w:pPr>
            <w:r>
              <w:t>永春县桃城镇湖滨路301号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永泰县农村信用合作联社</w:t>
            </w:r>
          </w:p>
        </w:tc>
        <w:tc>
          <w:tcPr>
            <w:tcW w:w="1200" w:type="dxa"/>
            <w:vAlign w:val="center"/>
          </w:tcPr>
          <w:p>
            <w:pPr>
              <w:jc w:val="left"/>
            </w:pPr>
            <w:r>
              <w:t>住所</w:t>
            </w:r>
          </w:p>
        </w:tc>
        <w:tc>
          <w:tcPr>
            <w:tcW w:w="3800" w:type="dxa"/>
            <w:vAlign w:val="center"/>
          </w:tcPr>
          <w:p>
            <w:pPr>
              <w:jc w:val="center"/>
            </w:pPr>
            <w:r>
              <w:t>福建省永泰县樟城镇南湖花园E区9号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江苏丹阳农村商业银行股份有限公司</w:t>
            </w:r>
          </w:p>
        </w:tc>
        <w:tc>
          <w:tcPr>
            <w:tcW w:w="1200" w:type="dxa"/>
            <w:vAlign w:val="center"/>
          </w:tcPr>
          <w:p>
            <w:pPr>
              <w:jc w:val="left"/>
            </w:pPr>
            <w:r>
              <w:t>住所</w:t>
            </w:r>
          </w:p>
        </w:tc>
        <w:tc>
          <w:tcPr>
            <w:tcW w:w="3800" w:type="dxa"/>
            <w:vAlign w:val="center"/>
          </w:tcPr>
          <w:p>
            <w:pPr>
              <w:jc w:val="center"/>
            </w:pPr>
            <w:r>
              <w:t>镇江市丹阳金陵西路152号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江苏仪征农村商业银行股份有限公司</w:t>
            </w:r>
          </w:p>
        </w:tc>
        <w:tc>
          <w:tcPr>
            <w:tcW w:w="1200" w:type="dxa"/>
            <w:vAlign w:val="center"/>
          </w:tcPr>
          <w:p>
            <w:pPr>
              <w:jc w:val="left"/>
            </w:pPr>
            <w:r>
              <w:t>住所</w:t>
            </w:r>
          </w:p>
        </w:tc>
        <w:tc>
          <w:tcPr>
            <w:tcW w:w="3800" w:type="dxa"/>
            <w:vAlign w:val="center"/>
          </w:tcPr>
          <w:p>
            <w:pPr>
              <w:jc w:val="center"/>
            </w:pPr>
            <w:r>
              <w:t>江苏省仪征市真州镇解放东路818号金融集聚区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江苏启东农村商业银行股份有限公司</w:t>
            </w:r>
          </w:p>
        </w:tc>
        <w:tc>
          <w:tcPr>
            <w:tcW w:w="1200" w:type="dxa"/>
            <w:vAlign w:val="center"/>
          </w:tcPr>
          <w:p>
            <w:pPr>
              <w:jc w:val="left"/>
            </w:pPr>
            <w:r>
              <w:t>住所</w:t>
            </w:r>
          </w:p>
        </w:tc>
        <w:tc>
          <w:tcPr>
            <w:tcW w:w="3800" w:type="dxa"/>
            <w:vAlign w:val="center"/>
          </w:tcPr>
          <w:p>
            <w:pPr>
              <w:jc w:val="center"/>
            </w:pPr>
            <w:r>
              <w:t>江苏省启东市汇龙镇金沙江路1688号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0513-83929017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江苏如东农村商业银行股份有限公司</w:t>
            </w:r>
          </w:p>
        </w:tc>
        <w:tc>
          <w:tcPr>
            <w:tcW w:w="1200" w:type="dxa"/>
            <w:vAlign w:val="center"/>
          </w:tcPr>
          <w:p>
            <w:pPr>
              <w:jc w:val="left"/>
            </w:pPr>
            <w:r>
              <w:t>住所</w:t>
            </w:r>
          </w:p>
        </w:tc>
        <w:tc>
          <w:tcPr>
            <w:tcW w:w="3800" w:type="dxa"/>
            <w:vAlign w:val="center"/>
          </w:tcPr>
          <w:p>
            <w:pPr>
              <w:jc w:val="center"/>
            </w:pPr>
            <w:r>
              <w:t>江苏省如东县掘港镇钟山路66号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江苏如皋农村商业银行股份有限公司</w:t>
            </w:r>
          </w:p>
        </w:tc>
        <w:tc>
          <w:tcPr>
            <w:tcW w:w="1200" w:type="dxa"/>
            <w:vAlign w:val="center"/>
          </w:tcPr>
          <w:p>
            <w:pPr>
              <w:jc w:val="left"/>
            </w:pPr>
            <w:r>
              <w:t>住所</w:t>
            </w:r>
          </w:p>
        </w:tc>
        <w:tc>
          <w:tcPr>
            <w:tcW w:w="3800" w:type="dxa"/>
            <w:vAlign w:val="center"/>
          </w:tcPr>
          <w:p>
            <w:pPr>
              <w:jc w:val="center"/>
            </w:pPr>
            <w:r>
              <w:t>如皋市如城街道海阳南路999号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江苏宝应农村商业银行股份有限公司</w:t>
            </w:r>
          </w:p>
        </w:tc>
        <w:tc>
          <w:tcPr>
            <w:tcW w:w="1200" w:type="dxa"/>
            <w:vAlign w:val="center"/>
          </w:tcPr>
          <w:p>
            <w:pPr>
              <w:jc w:val="left"/>
            </w:pPr>
            <w:r>
              <w:t>住所</w:t>
            </w:r>
          </w:p>
        </w:tc>
        <w:tc>
          <w:tcPr>
            <w:tcW w:w="3800" w:type="dxa"/>
            <w:vAlign w:val="center"/>
          </w:tcPr>
          <w:p>
            <w:pPr>
              <w:jc w:val="center"/>
            </w:pPr>
            <w:r>
              <w:t>江苏省宝应县文津路1号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江苏扬中农村商业银行股份有限公司</w:t>
            </w:r>
          </w:p>
        </w:tc>
        <w:tc>
          <w:tcPr>
            <w:tcW w:w="1200" w:type="dxa"/>
            <w:vAlign w:val="center"/>
          </w:tcPr>
          <w:p>
            <w:pPr>
              <w:jc w:val="left"/>
            </w:pPr>
            <w:r>
              <w:t>住所</w:t>
            </w:r>
          </w:p>
        </w:tc>
        <w:tc>
          <w:tcPr>
            <w:tcW w:w="3800" w:type="dxa"/>
            <w:vAlign w:val="center"/>
          </w:tcPr>
          <w:p>
            <w:pPr>
              <w:jc w:val="center"/>
            </w:pPr>
            <w:r>
              <w:t>江苏省扬中市扬子西路79号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江苏扬州农村商业银行股份有限公司</w:t>
            </w:r>
          </w:p>
        </w:tc>
        <w:tc>
          <w:tcPr>
            <w:tcW w:w="1200" w:type="dxa"/>
            <w:vAlign w:val="center"/>
          </w:tcPr>
          <w:p>
            <w:pPr>
              <w:jc w:val="left"/>
            </w:pPr>
            <w:r>
              <w:t>住所</w:t>
            </w:r>
          </w:p>
        </w:tc>
        <w:tc>
          <w:tcPr>
            <w:tcW w:w="3800" w:type="dxa"/>
            <w:vAlign w:val="center"/>
          </w:tcPr>
          <w:p>
            <w:pPr>
              <w:jc w:val="center"/>
            </w:pPr>
            <w:r>
              <w:t>江苏省扬州市同泰路107号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江苏昆山农村商业银行股份有限公司</w:t>
            </w:r>
          </w:p>
        </w:tc>
        <w:tc>
          <w:tcPr>
            <w:tcW w:w="1200" w:type="dxa"/>
            <w:vAlign w:val="center"/>
          </w:tcPr>
          <w:p>
            <w:pPr>
              <w:jc w:val="left"/>
            </w:pPr>
            <w:r>
              <w:t>住所</w:t>
            </w:r>
          </w:p>
        </w:tc>
        <w:tc>
          <w:tcPr>
            <w:tcW w:w="3800" w:type="dxa"/>
            <w:vAlign w:val="center"/>
          </w:tcPr>
          <w:p>
            <w:pPr>
              <w:jc w:val="center"/>
            </w:pPr>
            <w:r>
              <w:t>江苏省昆山市前进东路828号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0512-57370966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江苏民丰农村商业银行股份有限公司</w:t>
            </w:r>
          </w:p>
        </w:tc>
        <w:tc>
          <w:tcPr>
            <w:tcW w:w="1200" w:type="dxa"/>
            <w:vAlign w:val="center"/>
          </w:tcPr>
          <w:p>
            <w:pPr>
              <w:jc w:val="left"/>
            </w:pPr>
            <w:r>
              <w:t>住所</w:t>
            </w:r>
          </w:p>
        </w:tc>
        <w:tc>
          <w:tcPr>
            <w:tcW w:w="3800" w:type="dxa"/>
            <w:vAlign w:val="center"/>
          </w:tcPr>
          <w:p>
            <w:pPr>
              <w:jc w:val="center"/>
            </w:pPr>
            <w:r>
              <w:t>江苏省宿迁市宿城区高宝湖路1号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江苏江南农村商业银行股份有限公司</w:t>
            </w:r>
          </w:p>
        </w:tc>
        <w:tc>
          <w:tcPr>
            <w:tcW w:w="1200" w:type="dxa"/>
            <w:vAlign w:val="center"/>
          </w:tcPr>
          <w:p>
            <w:pPr>
              <w:jc w:val="left"/>
            </w:pPr>
            <w:r>
              <w:t>住所</w:t>
            </w:r>
          </w:p>
        </w:tc>
        <w:tc>
          <w:tcPr>
            <w:tcW w:w="3800" w:type="dxa"/>
            <w:vAlign w:val="center"/>
          </w:tcPr>
          <w:p>
            <w:pPr>
              <w:jc w:val="center"/>
            </w:pPr>
            <w:r>
              <w:t>常州市武进区延政中路9号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0519-88806087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江苏沛县农村商业银行股份有限公司</w:t>
            </w:r>
          </w:p>
        </w:tc>
        <w:tc>
          <w:tcPr>
            <w:tcW w:w="1200" w:type="dxa"/>
            <w:vAlign w:val="center"/>
          </w:tcPr>
          <w:p>
            <w:pPr>
              <w:jc w:val="left"/>
            </w:pPr>
            <w:r>
              <w:t>住所</w:t>
            </w:r>
          </w:p>
        </w:tc>
        <w:tc>
          <w:tcPr>
            <w:tcW w:w="3800" w:type="dxa"/>
            <w:vAlign w:val="center"/>
          </w:tcPr>
          <w:p>
            <w:pPr>
              <w:jc w:val="center"/>
            </w:pPr>
            <w:r>
              <w:t>江苏省沛县汤沐路中段11号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江苏泗阳农村商业银行股份有限公司</w:t>
            </w:r>
          </w:p>
        </w:tc>
        <w:tc>
          <w:tcPr>
            <w:tcW w:w="1200" w:type="dxa"/>
            <w:vAlign w:val="center"/>
          </w:tcPr>
          <w:p>
            <w:pPr>
              <w:jc w:val="left"/>
            </w:pPr>
            <w:r>
              <w:t>住所</w:t>
            </w:r>
          </w:p>
        </w:tc>
        <w:tc>
          <w:tcPr>
            <w:tcW w:w="3800" w:type="dxa"/>
            <w:vAlign w:val="center"/>
          </w:tcPr>
          <w:p>
            <w:pPr>
              <w:jc w:val="center"/>
            </w:pPr>
            <w:r>
              <w:t>江苏省泗阳县众兴镇北京中路21号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江苏滨海农村商业银行股份有限公司</w:t>
            </w:r>
          </w:p>
        </w:tc>
        <w:tc>
          <w:tcPr>
            <w:tcW w:w="1200" w:type="dxa"/>
            <w:vAlign w:val="center"/>
          </w:tcPr>
          <w:p>
            <w:pPr>
              <w:jc w:val="left"/>
            </w:pPr>
            <w:r>
              <w:t>住所</w:t>
            </w:r>
          </w:p>
        </w:tc>
        <w:tc>
          <w:tcPr>
            <w:tcW w:w="3800" w:type="dxa"/>
            <w:vAlign w:val="center"/>
          </w:tcPr>
          <w:p>
            <w:pPr>
              <w:jc w:val="center"/>
            </w:pPr>
            <w:r>
              <w:t>滨海县城迎宾中路1号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江苏苏州农村商业银行股份有限公司</w:t>
            </w:r>
          </w:p>
        </w:tc>
        <w:tc>
          <w:tcPr>
            <w:tcW w:w="1200" w:type="dxa"/>
            <w:vAlign w:val="center"/>
          </w:tcPr>
          <w:p>
            <w:pPr>
              <w:jc w:val="left"/>
            </w:pPr>
            <w:r>
              <w:t>住所</w:t>
            </w:r>
          </w:p>
        </w:tc>
        <w:tc>
          <w:tcPr>
            <w:tcW w:w="3800" w:type="dxa"/>
            <w:vAlign w:val="center"/>
          </w:tcPr>
          <w:p>
            <w:pPr>
              <w:jc w:val="center"/>
            </w:pPr>
            <w:r>
              <w:t>江苏省苏州市吴江区中山南路1777号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江苏银行股份有限公司</w:t>
            </w:r>
          </w:p>
        </w:tc>
        <w:tc>
          <w:tcPr>
            <w:tcW w:w="1200" w:type="dxa"/>
            <w:vAlign w:val="center"/>
          </w:tcPr>
          <w:p>
            <w:pPr>
              <w:jc w:val="left"/>
            </w:pPr>
            <w:r>
              <w:t>住所</w:t>
            </w:r>
          </w:p>
        </w:tc>
        <w:tc>
          <w:tcPr>
            <w:tcW w:w="3800" w:type="dxa"/>
            <w:vAlign w:val="center"/>
          </w:tcPr>
          <w:p>
            <w:pPr>
              <w:jc w:val="center"/>
            </w:pPr>
            <w: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江苏镇江农村商业银行股份有限公司</w:t>
            </w:r>
          </w:p>
        </w:tc>
        <w:tc>
          <w:tcPr>
            <w:tcW w:w="1200" w:type="dxa"/>
            <w:vAlign w:val="center"/>
          </w:tcPr>
          <w:p>
            <w:pPr>
              <w:jc w:val="left"/>
            </w:pPr>
            <w:r>
              <w:t>住所</w:t>
            </w:r>
          </w:p>
        </w:tc>
        <w:tc>
          <w:tcPr>
            <w:tcW w:w="3800" w:type="dxa"/>
            <w:vAlign w:val="center"/>
          </w:tcPr>
          <w:p>
            <w:pPr>
              <w:jc w:val="center"/>
            </w:pPr>
            <w:r>
              <w:t>江苏省镇江市润州区长江路97号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江苏高邮农村商业银行股份有限公司</w:t>
            </w:r>
          </w:p>
        </w:tc>
        <w:tc>
          <w:tcPr>
            <w:tcW w:w="1200" w:type="dxa"/>
            <w:vAlign w:val="center"/>
          </w:tcPr>
          <w:p>
            <w:pPr>
              <w:jc w:val="left"/>
            </w:pPr>
            <w:r>
              <w:t>住所</w:t>
            </w:r>
          </w:p>
        </w:tc>
        <w:tc>
          <w:tcPr>
            <w:tcW w:w="3800" w:type="dxa"/>
            <w:vAlign w:val="center"/>
          </w:tcPr>
          <w:p>
            <w:pPr>
              <w:jc w:val="center"/>
            </w:pPr>
            <w:r>
              <w:t>高邮市文游中路28号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泉州农村商业银行股份有限公司</w:t>
            </w:r>
          </w:p>
        </w:tc>
        <w:tc>
          <w:tcPr>
            <w:tcW w:w="1200" w:type="dxa"/>
            <w:vAlign w:val="center"/>
          </w:tcPr>
          <w:p>
            <w:pPr>
              <w:jc w:val="left"/>
            </w:pPr>
            <w:r>
              <w:t>住所</w:t>
            </w:r>
          </w:p>
        </w:tc>
        <w:tc>
          <w:tcPr>
            <w:tcW w:w="3800" w:type="dxa"/>
            <w:vAlign w:val="center"/>
          </w:tcPr>
          <w:p>
            <w:pPr>
              <w:jc w:val="center"/>
            </w:pPr>
            <w:r>
              <w:t>泉州市丰泽区滨海街222号香槟中心1层靠府东路区域、10层、11层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泰宁县农村信用合作联社</w:t>
            </w:r>
          </w:p>
        </w:tc>
        <w:tc>
          <w:tcPr>
            <w:tcW w:w="1200" w:type="dxa"/>
            <w:vAlign w:val="center"/>
          </w:tcPr>
          <w:p>
            <w:pPr>
              <w:jc w:val="left"/>
            </w:pPr>
            <w:r>
              <w:t>住所</w:t>
            </w:r>
          </w:p>
        </w:tc>
        <w:tc>
          <w:tcPr>
            <w:tcW w:w="3800" w:type="dxa"/>
            <w:vAlign w:val="center"/>
          </w:tcPr>
          <w:p>
            <w:pPr>
              <w:jc w:val="center"/>
            </w:pPr>
            <w:r>
              <w:t>福建省泰宁县杉城镇水南西街13号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浙商银行股份有限公司</w:t>
            </w:r>
          </w:p>
        </w:tc>
        <w:tc>
          <w:tcPr>
            <w:tcW w:w="1200" w:type="dxa"/>
            <w:vAlign w:val="center"/>
          </w:tcPr>
          <w:p>
            <w:pPr>
              <w:jc w:val="left"/>
            </w:pPr>
            <w:r>
              <w:t>住所</w:t>
            </w:r>
          </w:p>
        </w:tc>
        <w:tc>
          <w:tcPr>
            <w:tcW w:w="3800" w:type="dxa"/>
            <w:vAlign w:val="center"/>
          </w:tcPr>
          <w:p>
            <w:pPr>
              <w:jc w:val="center"/>
            </w:pPr>
            <w:r>
              <w:t>浙江省杭州市萧山区鸿宁路1788号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0571-87659101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浦城县农村信用合作联社</w:t>
            </w:r>
          </w:p>
        </w:tc>
        <w:tc>
          <w:tcPr>
            <w:tcW w:w="1200" w:type="dxa"/>
            <w:vAlign w:val="center"/>
          </w:tcPr>
          <w:p>
            <w:pPr>
              <w:jc w:val="left"/>
            </w:pPr>
            <w:r>
              <w:t>住所</w:t>
            </w:r>
          </w:p>
        </w:tc>
        <w:tc>
          <w:tcPr>
            <w:tcW w:w="3800" w:type="dxa"/>
            <w:vAlign w:val="center"/>
          </w:tcPr>
          <w:p>
            <w:pPr>
              <w:jc w:val="center"/>
            </w:pPr>
            <w:r>
              <w:t>浦城县兴浦路235号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温州银行股份有限公司</w:t>
            </w:r>
          </w:p>
        </w:tc>
        <w:tc>
          <w:tcPr>
            <w:tcW w:w="1200" w:type="dxa"/>
            <w:vAlign w:val="center"/>
          </w:tcPr>
          <w:p>
            <w:pPr>
              <w:jc w:val="left"/>
            </w:pPr>
            <w:r>
              <w:t>住所</w:t>
            </w:r>
          </w:p>
        </w:tc>
        <w:tc>
          <w:tcPr>
            <w:tcW w:w="3800" w:type="dxa"/>
            <w:vAlign w:val="center"/>
          </w:tcPr>
          <w:p>
            <w:pPr>
              <w:jc w:val="center"/>
            </w:pPr>
            <w:r>
              <w:t>浙江省温州市鹿城区会展路1316号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0577-88990092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湖北银行股份有限公司</w:t>
            </w:r>
          </w:p>
        </w:tc>
        <w:tc>
          <w:tcPr>
            <w:tcW w:w="1200" w:type="dxa"/>
            <w:vAlign w:val="center"/>
          </w:tcPr>
          <w:p>
            <w:pPr>
              <w:jc w:val="left"/>
            </w:pPr>
            <w:r>
              <w:t>住所</w:t>
            </w:r>
          </w:p>
        </w:tc>
        <w:tc>
          <w:tcPr>
            <w:tcW w:w="3800" w:type="dxa"/>
            <w:vAlign w:val="center"/>
          </w:tcPr>
          <w:p>
            <w:pPr>
              <w:jc w:val="center"/>
            </w:pPr>
            <w:r>
              <w:t>武汉市武昌区水果湖街中北路86号汉街总部国际8栋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4008596599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湖南银行股份有限公司</w:t>
            </w:r>
          </w:p>
        </w:tc>
        <w:tc>
          <w:tcPr>
            <w:tcW w:w="1200" w:type="dxa"/>
            <w:vAlign w:val="center"/>
          </w:tcPr>
          <w:p>
            <w:pPr>
              <w:jc w:val="left"/>
            </w:pPr>
            <w:r>
              <w:t>住所</w:t>
            </w:r>
          </w:p>
        </w:tc>
        <w:tc>
          <w:tcPr>
            <w:tcW w:w="3800" w:type="dxa"/>
            <w:vAlign w:val="center"/>
          </w:tcPr>
          <w:p>
            <w:pPr>
              <w:jc w:val="center"/>
            </w:pPr>
            <w:r>
              <w:t>湖南省长沙市天心区湘江中路二段210号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0731-89828919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漳州市长泰区农村信用合作联社</w:t>
            </w:r>
          </w:p>
        </w:tc>
        <w:tc>
          <w:tcPr>
            <w:tcW w:w="1200" w:type="dxa"/>
            <w:vAlign w:val="center"/>
          </w:tcPr>
          <w:p>
            <w:pPr>
              <w:jc w:val="left"/>
            </w:pPr>
            <w:r>
              <w:t>住所</w:t>
            </w:r>
          </w:p>
        </w:tc>
        <w:tc>
          <w:tcPr>
            <w:tcW w:w="3800" w:type="dxa"/>
            <w:vAlign w:val="center"/>
          </w:tcPr>
          <w:p>
            <w:pPr>
              <w:jc w:val="center"/>
            </w:pPr>
            <w:r>
              <w:t>福建省漳州市长泰区武安镇人民西路206号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潍坊银行股份有限公司</w:t>
            </w:r>
          </w:p>
        </w:tc>
        <w:tc>
          <w:tcPr>
            <w:tcW w:w="1200" w:type="dxa"/>
            <w:vAlign w:val="center"/>
          </w:tcPr>
          <w:p>
            <w:pPr>
              <w:jc w:val="left"/>
            </w:pPr>
            <w:r>
              <w:t>住所</w:t>
            </w:r>
          </w:p>
        </w:tc>
        <w:tc>
          <w:tcPr>
            <w:tcW w:w="3800" w:type="dxa"/>
            <w:vAlign w:val="center"/>
          </w:tcPr>
          <w:p>
            <w:pPr>
              <w:jc w:val="center"/>
            </w:pPr>
            <w:r>
              <w:t>潍坊市奎文区胜利东街5139号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0536-8106161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珠海农村商业银行股份有限公司</w:t>
            </w:r>
          </w:p>
        </w:tc>
        <w:tc>
          <w:tcPr>
            <w:tcW w:w="1200" w:type="dxa"/>
            <w:vAlign w:val="center"/>
          </w:tcPr>
          <w:p>
            <w:pPr>
              <w:jc w:val="left"/>
            </w:pPr>
            <w:r>
              <w:t>住所</w:t>
            </w:r>
          </w:p>
        </w:tc>
        <w:tc>
          <w:tcPr>
            <w:tcW w:w="3800" w:type="dxa"/>
            <w:vAlign w:val="center"/>
          </w:tcPr>
          <w:p>
            <w:pPr>
              <w:jc w:val="center"/>
            </w:pPr>
            <w:r>
              <w:t>珠海市香洲兴业路223号农信金融大厦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96138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珠海华润银行股份有限公司</w:t>
            </w:r>
          </w:p>
        </w:tc>
        <w:tc>
          <w:tcPr>
            <w:tcW w:w="1200" w:type="dxa"/>
            <w:vAlign w:val="center"/>
          </w:tcPr>
          <w:p>
            <w:pPr>
              <w:jc w:val="left"/>
            </w:pPr>
            <w:r>
              <w:t>住所</w:t>
            </w:r>
          </w:p>
        </w:tc>
        <w:tc>
          <w:tcPr>
            <w:tcW w:w="3800" w:type="dxa"/>
            <w:vAlign w:val="center"/>
          </w:tcPr>
          <w:p>
            <w:pPr>
              <w:jc w:val="center"/>
            </w:pPr>
            <w:r>
              <w:t>广东省珠海市高新区北城东三路88号1栋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0756-96588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福安市农村信用合作联社</w:t>
            </w:r>
          </w:p>
        </w:tc>
        <w:tc>
          <w:tcPr>
            <w:tcW w:w="1200" w:type="dxa"/>
            <w:vAlign w:val="center"/>
          </w:tcPr>
          <w:p>
            <w:pPr>
              <w:jc w:val="left"/>
            </w:pPr>
            <w:r>
              <w:t>住所</w:t>
            </w:r>
          </w:p>
        </w:tc>
        <w:tc>
          <w:tcPr>
            <w:tcW w:w="3800" w:type="dxa"/>
            <w:vAlign w:val="center"/>
          </w:tcPr>
          <w:p>
            <w:pPr>
              <w:jc w:val="center"/>
            </w:pPr>
            <w:r>
              <w:t>福安市城北新华中路103、107号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福建三明农村商业银行股份有限公司</w:t>
            </w:r>
          </w:p>
        </w:tc>
        <w:tc>
          <w:tcPr>
            <w:tcW w:w="1200" w:type="dxa"/>
            <w:vAlign w:val="center"/>
          </w:tcPr>
          <w:p>
            <w:pPr>
              <w:jc w:val="left"/>
            </w:pPr>
            <w:r>
              <w:t>住所</w:t>
            </w:r>
          </w:p>
        </w:tc>
        <w:tc>
          <w:tcPr>
            <w:tcW w:w="3800" w:type="dxa"/>
            <w:vAlign w:val="center"/>
          </w:tcPr>
          <w:p>
            <w:pPr>
              <w:jc w:val="center"/>
            </w:pPr>
            <w:r>
              <w:t>福建省三明市三元区东新三路68号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福建上杭农村商业银行股份有限公司</w:t>
            </w:r>
          </w:p>
        </w:tc>
        <w:tc>
          <w:tcPr>
            <w:tcW w:w="1200" w:type="dxa"/>
            <w:vAlign w:val="center"/>
          </w:tcPr>
          <w:p>
            <w:pPr>
              <w:jc w:val="left"/>
            </w:pPr>
            <w:r>
              <w:t>住所</w:t>
            </w:r>
          </w:p>
        </w:tc>
        <w:tc>
          <w:tcPr>
            <w:tcW w:w="3800" w:type="dxa"/>
            <w:vAlign w:val="center"/>
          </w:tcPr>
          <w:p>
            <w:pPr>
              <w:jc w:val="center"/>
            </w:pPr>
            <w:r>
              <w:t>上杭县临江镇振兴路171号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福建仙游农村商业银行股份有限公司</w:t>
            </w:r>
          </w:p>
        </w:tc>
        <w:tc>
          <w:tcPr>
            <w:tcW w:w="1200" w:type="dxa"/>
            <w:vAlign w:val="center"/>
          </w:tcPr>
          <w:p>
            <w:pPr>
              <w:jc w:val="left"/>
            </w:pPr>
            <w:r>
              <w:t>住所</w:t>
            </w:r>
          </w:p>
        </w:tc>
        <w:tc>
          <w:tcPr>
            <w:tcW w:w="3800" w:type="dxa"/>
            <w:vAlign w:val="center"/>
          </w:tcPr>
          <w:p>
            <w:pPr>
              <w:jc w:val="center"/>
            </w:pPr>
            <w:r>
              <w:t>福建省仙游县鲤城街道党校街1188号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福建南安农村商业银行股份有限公司</w:t>
            </w:r>
          </w:p>
        </w:tc>
        <w:tc>
          <w:tcPr>
            <w:tcW w:w="1200" w:type="dxa"/>
            <w:vAlign w:val="center"/>
          </w:tcPr>
          <w:p>
            <w:pPr>
              <w:jc w:val="left"/>
            </w:pPr>
            <w:r>
              <w:t>住所</w:t>
            </w:r>
          </w:p>
        </w:tc>
        <w:tc>
          <w:tcPr>
            <w:tcW w:w="3800" w:type="dxa"/>
            <w:vAlign w:val="center"/>
          </w:tcPr>
          <w:p>
            <w:pPr>
              <w:jc w:val="center"/>
            </w:pPr>
            <w:r>
              <w:t>福建省南安市成功街889号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福建宁德农村商业银行股份有限公司</w:t>
            </w:r>
          </w:p>
        </w:tc>
        <w:tc>
          <w:tcPr>
            <w:tcW w:w="1200" w:type="dxa"/>
            <w:vAlign w:val="center"/>
          </w:tcPr>
          <w:p>
            <w:pPr>
              <w:jc w:val="left"/>
            </w:pPr>
            <w:r>
              <w:t>住所</w:t>
            </w:r>
          </w:p>
        </w:tc>
        <w:tc>
          <w:tcPr>
            <w:tcW w:w="3800" w:type="dxa"/>
            <w:vAlign w:val="center"/>
          </w:tcPr>
          <w:p>
            <w:pPr>
              <w:jc w:val="center"/>
            </w:pPr>
            <w:r>
              <w:t>宁德市蕉城区万安西路21号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福建安溪农村商业银行股份有限公司</w:t>
            </w:r>
          </w:p>
        </w:tc>
        <w:tc>
          <w:tcPr>
            <w:tcW w:w="1200" w:type="dxa"/>
            <w:vAlign w:val="center"/>
          </w:tcPr>
          <w:p>
            <w:pPr>
              <w:jc w:val="left"/>
            </w:pPr>
            <w:r>
              <w:t>住所</w:t>
            </w:r>
          </w:p>
        </w:tc>
        <w:tc>
          <w:tcPr>
            <w:tcW w:w="3800" w:type="dxa"/>
            <w:vAlign w:val="center"/>
          </w:tcPr>
          <w:p>
            <w:pPr>
              <w:jc w:val="center"/>
            </w:pPr>
            <w:r>
              <w:t>福建省泉州市安溪县建安大道230号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福建平和农村商业银行股份有限公司</w:t>
            </w:r>
          </w:p>
        </w:tc>
        <w:tc>
          <w:tcPr>
            <w:tcW w:w="1200" w:type="dxa"/>
            <w:vAlign w:val="center"/>
          </w:tcPr>
          <w:p>
            <w:pPr>
              <w:jc w:val="left"/>
            </w:pPr>
            <w:r>
              <w:t>住所</w:t>
            </w:r>
          </w:p>
        </w:tc>
        <w:tc>
          <w:tcPr>
            <w:tcW w:w="3800" w:type="dxa"/>
            <w:vAlign w:val="center"/>
          </w:tcPr>
          <w:p>
            <w:pPr>
              <w:jc w:val="center"/>
            </w:pPr>
            <w:r>
              <w:t>福建省漳州市平和县小溪镇北环路86号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福建平潭农村商业银行股份有限公司</w:t>
            </w:r>
          </w:p>
        </w:tc>
        <w:tc>
          <w:tcPr>
            <w:tcW w:w="1200" w:type="dxa"/>
            <w:vAlign w:val="center"/>
          </w:tcPr>
          <w:p>
            <w:pPr>
              <w:jc w:val="left"/>
            </w:pPr>
            <w:r>
              <w:t>住所</w:t>
            </w:r>
          </w:p>
        </w:tc>
        <w:tc>
          <w:tcPr>
            <w:tcW w:w="3800" w:type="dxa"/>
            <w:vAlign w:val="center"/>
          </w:tcPr>
          <w:p>
            <w:pPr>
              <w:jc w:val="center"/>
            </w:pPr>
            <w:r>
              <w:t>平潭县潭城镇龙里路西侧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福建建瓯农村商业银行股份有限公司</w:t>
            </w:r>
          </w:p>
        </w:tc>
        <w:tc>
          <w:tcPr>
            <w:tcW w:w="1200" w:type="dxa"/>
            <w:vAlign w:val="center"/>
          </w:tcPr>
          <w:p>
            <w:pPr>
              <w:jc w:val="left"/>
            </w:pPr>
            <w:r>
              <w:t>住所</w:t>
            </w:r>
          </w:p>
        </w:tc>
        <w:tc>
          <w:tcPr>
            <w:tcW w:w="3800" w:type="dxa"/>
            <w:vAlign w:val="center"/>
          </w:tcPr>
          <w:p>
            <w:pPr>
              <w:jc w:val="center"/>
            </w:pPr>
            <w:r>
              <w:t>福建省建瓯市中山路463号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福建晋江农村商业银行股份有限公司</w:t>
            </w:r>
          </w:p>
        </w:tc>
        <w:tc>
          <w:tcPr>
            <w:tcW w:w="1200" w:type="dxa"/>
            <w:vAlign w:val="center"/>
          </w:tcPr>
          <w:p>
            <w:pPr>
              <w:jc w:val="left"/>
            </w:pPr>
            <w:r>
              <w:t>住所</w:t>
            </w:r>
          </w:p>
        </w:tc>
        <w:tc>
          <w:tcPr>
            <w:tcW w:w="3800" w:type="dxa"/>
            <w:vAlign w:val="center"/>
          </w:tcPr>
          <w:p>
            <w:pPr>
              <w:jc w:val="center"/>
            </w:pPr>
            <w:r>
              <w:t>晋江市青阳崇德路196号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福建武夷山农村商业银行股份有限公司</w:t>
            </w:r>
          </w:p>
        </w:tc>
        <w:tc>
          <w:tcPr>
            <w:tcW w:w="1200" w:type="dxa"/>
            <w:vAlign w:val="center"/>
          </w:tcPr>
          <w:p>
            <w:pPr>
              <w:jc w:val="left"/>
            </w:pPr>
            <w:r>
              <w:t>住所</w:t>
            </w:r>
          </w:p>
        </w:tc>
        <w:tc>
          <w:tcPr>
            <w:tcW w:w="3800" w:type="dxa"/>
            <w:vAlign w:val="center"/>
          </w:tcPr>
          <w:p>
            <w:pPr>
              <w:jc w:val="center"/>
            </w:pPr>
            <w:r>
              <w:t>福建省武夷山市环岛西路76号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福建永安农村商业银行股份有限公司</w:t>
            </w:r>
          </w:p>
        </w:tc>
        <w:tc>
          <w:tcPr>
            <w:tcW w:w="1200" w:type="dxa"/>
            <w:vAlign w:val="center"/>
          </w:tcPr>
          <w:p>
            <w:pPr>
              <w:jc w:val="left"/>
            </w:pPr>
            <w:r>
              <w:t>住所</w:t>
            </w:r>
          </w:p>
        </w:tc>
        <w:tc>
          <w:tcPr>
            <w:tcW w:w="3800" w:type="dxa"/>
            <w:vAlign w:val="center"/>
          </w:tcPr>
          <w:p>
            <w:pPr>
              <w:jc w:val="center"/>
            </w:pPr>
            <w:r>
              <w:t>福建省永安市江滨路688号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福建沙县农村商业银行股份有限公司</w:t>
            </w:r>
          </w:p>
        </w:tc>
        <w:tc>
          <w:tcPr>
            <w:tcW w:w="1200" w:type="dxa"/>
            <w:vAlign w:val="center"/>
          </w:tcPr>
          <w:p>
            <w:pPr>
              <w:jc w:val="left"/>
            </w:pPr>
            <w:r>
              <w:t>住所</w:t>
            </w:r>
          </w:p>
        </w:tc>
        <w:tc>
          <w:tcPr>
            <w:tcW w:w="3800" w:type="dxa"/>
            <w:vAlign w:val="center"/>
          </w:tcPr>
          <w:p>
            <w:pPr>
              <w:jc w:val="center"/>
            </w:pPr>
            <w:r>
              <w:t>沙县李纲中路100号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福建海峡银行股份有限公司</w:t>
            </w:r>
          </w:p>
        </w:tc>
        <w:tc>
          <w:tcPr>
            <w:tcW w:w="1200" w:type="dxa"/>
            <w:vAlign w:val="center"/>
          </w:tcPr>
          <w:p>
            <w:pPr>
              <w:jc w:val="left"/>
            </w:pPr>
            <w:r>
              <w:t>住所</w:t>
            </w:r>
          </w:p>
        </w:tc>
        <w:tc>
          <w:tcPr>
            <w:tcW w:w="3800" w:type="dxa"/>
            <w:vAlign w:val="center"/>
          </w:tcPr>
          <w:p>
            <w:pPr>
              <w:jc w:val="center"/>
            </w:pPr>
            <w:r>
              <w:t>福建省福州市台江区江滨中大道358号海峡银行大厦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4008939999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福建漳州农村商业银行股份有限公司</w:t>
            </w:r>
          </w:p>
        </w:tc>
        <w:tc>
          <w:tcPr>
            <w:tcW w:w="1200" w:type="dxa"/>
            <w:vAlign w:val="center"/>
          </w:tcPr>
          <w:p>
            <w:pPr>
              <w:jc w:val="left"/>
            </w:pPr>
            <w:r>
              <w:t>住所</w:t>
            </w:r>
          </w:p>
        </w:tc>
        <w:tc>
          <w:tcPr>
            <w:tcW w:w="3800" w:type="dxa"/>
            <w:vAlign w:val="center"/>
          </w:tcPr>
          <w:p>
            <w:pPr>
              <w:jc w:val="center"/>
            </w:pPr>
            <w:r>
              <w:t>福建省漳州市芗城区水仙大街53号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福建漳平农村商业银行股份有限公司</w:t>
            </w:r>
          </w:p>
        </w:tc>
        <w:tc>
          <w:tcPr>
            <w:tcW w:w="1200" w:type="dxa"/>
            <w:vAlign w:val="center"/>
          </w:tcPr>
          <w:p>
            <w:pPr>
              <w:jc w:val="left"/>
            </w:pPr>
            <w:r>
              <w:t>住所</w:t>
            </w:r>
          </w:p>
        </w:tc>
        <w:tc>
          <w:tcPr>
            <w:tcW w:w="3800" w:type="dxa"/>
            <w:vAlign w:val="center"/>
          </w:tcPr>
          <w:p>
            <w:pPr>
              <w:jc w:val="center"/>
            </w:pPr>
            <w:r>
              <w:t>福建省龙岩市漳平市桂林街道桂林路59号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福建漳浦农村商业银行股份有限公司</w:t>
            </w:r>
          </w:p>
        </w:tc>
        <w:tc>
          <w:tcPr>
            <w:tcW w:w="1200" w:type="dxa"/>
            <w:vAlign w:val="center"/>
          </w:tcPr>
          <w:p>
            <w:pPr>
              <w:jc w:val="left"/>
            </w:pPr>
            <w:r>
              <w:t>住所</w:t>
            </w:r>
          </w:p>
        </w:tc>
        <w:tc>
          <w:tcPr>
            <w:tcW w:w="3800" w:type="dxa"/>
            <w:vAlign w:val="center"/>
          </w:tcPr>
          <w:p>
            <w:pPr>
              <w:jc w:val="center"/>
            </w:pPr>
            <w:r>
              <w:t>福建漳浦县绥安镇朝阳大道东296号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福建石狮农村商业银行股份有限公司</w:t>
            </w:r>
          </w:p>
        </w:tc>
        <w:tc>
          <w:tcPr>
            <w:tcW w:w="1200" w:type="dxa"/>
            <w:vAlign w:val="center"/>
          </w:tcPr>
          <w:p>
            <w:pPr>
              <w:jc w:val="left"/>
            </w:pPr>
            <w:r>
              <w:t>住所</w:t>
            </w:r>
          </w:p>
        </w:tc>
        <w:tc>
          <w:tcPr>
            <w:tcW w:w="3800" w:type="dxa"/>
            <w:vAlign w:val="center"/>
          </w:tcPr>
          <w:p>
            <w:pPr>
              <w:jc w:val="center"/>
            </w:pPr>
            <w:r>
              <w:t>福建省石狮市八七路2128-2150号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福建福州农村商业银行股份有限公司</w:t>
            </w:r>
          </w:p>
        </w:tc>
        <w:tc>
          <w:tcPr>
            <w:tcW w:w="1200" w:type="dxa"/>
            <w:vAlign w:val="center"/>
          </w:tcPr>
          <w:p>
            <w:pPr>
              <w:jc w:val="left"/>
            </w:pPr>
            <w:r>
              <w:t>住所</w:t>
            </w:r>
          </w:p>
        </w:tc>
        <w:tc>
          <w:tcPr>
            <w:tcW w:w="3800" w:type="dxa"/>
            <w:vAlign w:val="center"/>
          </w:tcPr>
          <w:p>
            <w:pPr>
              <w:jc w:val="center"/>
            </w:pPr>
            <w:r>
              <w:t>福州市鼓楼区五凤街道福飞路118号心连心金融大厦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福建福清汇通农村商业银行股份有限公司</w:t>
            </w:r>
          </w:p>
        </w:tc>
        <w:tc>
          <w:tcPr>
            <w:tcW w:w="1200" w:type="dxa"/>
            <w:vAlign w:val="center"/>
          </w:tcPr>
          <w:p>
            <w:pPr>
              <w:jc w:val="left"/>
            </w:pPr>
            <w:r>
              <w:t>住所</w:t>
            </w:r>
          </w:p>
        </w:tc>
        <w:tc>
          <w:tcPr>
            <w:tcW w:w="3800" w:type="dxa"/>
            <w:vAlign w:val="center"/>
          </w:tcPr>
          <w:p>
            <w:pPr>
              <w:jc w:val="center"/>
            </w:pPr>
            <w:r>
              <w:t>福建省福清市音西街道福和路88号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福建莆田农村商业银行股份有限公司</w:t>
            </w:r>
          </w:p>
        </w:tc>
        <w:tc>
          <w:tcPr>
            <w:tcW w:w="1200" w:type="dxa"/>
            <w:vAlign w:val="center"/>
          </w:tcPr>
          <w:p>
            <w:pPr>
              <w:jc w:val="left"/>
            </w:pPr>
            <w:r>
              <w:t>住所</w:t>
            </w:r>
          </w:p>
        </w:tc>
        <w:tc>
          <w:tcPr>
            <w:tcW w:w="3800" w:type="dxa"/>
            <w:vAlign w:val="center"/>
          </w:tcPr>
          <w:p>
            <w:pPr>
              <w:jc w:val="center"/>
            </w:pPr>
            <w:r>
              <w:t>福建省莆田市城厢区霞林街道南园西路266号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福建连江农村商业银行股份有限公司</w:t>
            </w:r>
          </w:p>
        </w:tc>
        <w:tc>
          <w:tcPr>
            <w:tcW w:w="1200" w:type="dxa"/>
            <w:vAlign w:val="center"/>
          </w:tcPr>
          <w:p>
            <w:pPr>
              <w:jc w:val="left"/>
            </w:pPr>
            <w:r>
              <w:t>住所</w:t>
            </w:r>
          </w:p>
        </w:tc>
        <w:tc>
          <w:tcPr>
            <w:tcW w:w="3800" w:type="dxa"/>
            <w:vAlign w:val="center"/>
          </w:tcPr>
          <w:p>
            <w:pPr>
              <w:jc w:val="center"/>
            </w:pPr>
            <w:r>
              <w:t>福建省福州市连江县凤城镇丹凤东路30号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福建邵武农村商业银行股份有限公司</w:t>
            </w:r>
          </w:p>
        </w:tc>
        <w:tc>
          <w:tcPr>
            <w:tcW w:w="1200" w:type="dxa"/>
            <w:vAlign w:val="center"/>
          </w:tcPr>
          <w:p>
            <w:pPr>
              <w:jc w:val="left"/>
            </w:pPr>
            <w:r>
              <w:t>住所</w:t>
            </w:r>
          </w:p>
        </w:tc>
        <w:tc>
          <w:tcPr>
            <w:tcW w:w="3800" w:type="dxa"/>
            <w:vAlign w:val="center"/>
          </w:tcPr>
          <w:p>
            <w:pPr>
              <w:jc w:val="center"/>
            </w:pPr>
            <w:r>
              <w:t>邵武市熙春中路248号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福建长乐农村商业银行股份有限公司</w:t>
            </w:r>
          </w:p>
        </w:tc>
        <w:tc>
          <w:tcPr>
            <w:tcW w:w="1200" w:type="dxa"/>
            <w:vAlign w:val="center"/>
          </w:tcPr>
          <w:p>
            <w:pPr>
              <w:jc w:val="left"/>
            </w:pPr>
            <w:r>
              <w:t>住所</w:t>
            </w:r>
          </w:p>
        </w:tc>
        <w:tc>
          <w:tcPr>
            <w:tcW w:w="3800" w:type="dxa"/>
            <w:vAlign w:val="center"/>
          </w:tcPr>
          <w:p>
            <w:pPr>
              <w:jc w:val="center"/>
            </w:pPr>
            <w:r>
              <w:t>福建省福州市长乐市吴航街道朝阳中路193号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福建龙岩农村商业银行股份有限公司</w:t>
            </w:r>
          </w:p>
        </w:tc>
        <w:tc>
          <w:tcPr>
            <w:tcW w:w="1200" w:type="dxa"/>
            <w:vAlign w:val="center"/>
          </w:tcPr>
          <w:p>
            <w:pPr>
              <w:jc w:val="left"/>
            </w:pPr>
            <w:r>
              <w:t>住所</w:t>
            </w:r>
          </w:p>
        </w:tc>
        <w:tc>
          <w:tcPr>
            <w:tcW w:w="3800" w:type="dxa"/>
            <w:vAlign w:val="center"/>
          </w:tcPr>
          <w:p>
            <w:pPr>
              <w:jc w:val="center"/>
            </w:pPr>
            <w:r>
              <w:t>龙岩市新罗区西城西安南路295号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福建龙海农村商业银行股份有限公司</w:t>
            </w:r>
          </w:p>
        </w:tc>
        <w:tc>
          <w:tcPr>
            <w:tcW w:w="1200" w:type="dxa"/>
            <w:vAlign w:val="center"/>
          </w:tcPr>
          <w:p>
            <w:pPr>
              <w:jc w:val="left"/>
            </w:pPr>
            <w:r>
              <w:t>住所</w:t>
            </w:r>
          </w:p>
        </w:tc>
        <w:tc>
          <w:tcPr>
            <w:tcW w:w="3800" w:type="dxa"/>
            <w:vAlign w:val="center"/>
          </w:tcPr>
          <w:p>
            <w:pPr>
              <w:jc w:val="center"/>
            </w:pPr>
            <w:r>
              <w:t>龙海市石码镇港林路17号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福鼎市农村信用合作联社</w:t>
            </w:r>
          </w:p>
        </w:tc>
        <w:tc>
          <w:tcPr>
            <w:tcW w:w="1200" w:type="dxa"/>
            <w:vAlign w:val="center"/>
          </w:tcPr>
          <w:p>
            <w:pPr>
              <w:jc w:val="left"/>
            </w:pPr>
            <w:r>
              <w:t>住所</w:t>
            </w:r>
          </w:p>
        </w:tc>
        <w:tc>
          <w:tcPr>
            <w:tcW w:w="3800" w:type="dxa"/>
            <w:vAlign w:val="center"/>
          </w:tcPr>
          <w:p>
            <w:pPr>
              <w:jc w:val="center"/>
            </w:pPr>
            <w:r>
              <w:t>福鼎市太姥商厦A幢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罗源县农村信用合作联社</w:t>
            </w:r>
          </w:p>
        </w:tc>
        <w:tc>
          <w:tcPr>
            <w:tcW w:w="1200" w:type="dxa"/>
            <w:vAlign w:val="center"/>
          </w:tcPr>
          <w:p>
            <w:pPr>
              <w:jc w:val="left"/>
            </w:pPr>
            <w:r>
              <w:t>住所</w:t>
            </w:r>
          </w:p>
        </w:tc>
        <w:tc>
          <w:tcPr>
            <w:tcW w:w="3800" w:type="dxa"/>
            <w:vAlign w:val="center"/>
          </w:tcPr>
          <w:p>
            <w:pPr>
              <w:jc w:val="center"/>
            </w:pPr>
            <w:r>
              <w:t>罗源县凤山镇北大路11号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苏州银行股份有限公司</w:t>
            </w:r>
          </w:p>
        </w:tc>
        <w:tc>
          <w:tcPr>
            <w:tcW w:w="1200" w:type="dxa"/>
            <w:vAlign w:val="center"/>
          </w:tcPr>
          <w:p>
            <w:pPr>
              <w:jc w:val="left"/>
            </w:pPr>
            <w:r>
              <w:t>住所</w:t>
            </w:r>
          </w:p>
        </w:tc>
        <w:tc>
          <w:tcPr>
            <w:tcW w:w="3800" w:type="dxa"/>
            <w:vAlign w:val="center"/>
          </w:tcPr>
          <w:p>
            <w:pPr>
              <w:jc w:val="center"/>
            </w:pPr>
            <w:r>
              <w:t>中国（江苏）自由贸易试验区苏州片区苏州工业园区钟园路728号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蒙商银行股份有限公司</w:t>
            </w:r>
          </w:p>
        </w:tc>
        <w:tc>
          <w:tcPr>
            <w:tcW w:w="1200" w:type="dxa"/>
            <w:vAlign w:val="center"/>
          </w:tcPr>
          <w:p>
            <w:pPr>
              <w:jc w:val="left"/>
            </w:pPr>
            <w:r>
              <w:t>住所</w:t>
            </w:r>
          </w:p>
        </w:tc>
        <w:tc>
          <w:tcPr>
            <w:tcW w:w="3800" w:type="dxa"/>
            <w:vAlign w:val="center"/>
          </w:tcPr>
          <w:p>
            <w:pPr>
              <w:jc w:val="center"/>
            </w:pPr>
            <w:r>
              <w:t>内蒙古自治区包头市九原区赛汗街道办事处建华南路2号A座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0472-2658888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贵阳银行股份有限公司</w:t>
            </w:r>
          </w:p>
        </w:tc>
        <w:tc>
          <w:tcPr>
            <w:tcW w:w="1200" w:type="dxa"/>
            <w:vAlign w:val="center"/>
          </w:tcPr>
          <w:p>
            <w:pPr>
              <w:jc w:val="left"/>
            </w:pPr>
            <w:r>
              <w:t>住所</w:t>
            </w:r>
          </w:p>
        </w:tc>
        <w:tc>
          <w:tcPr>
            <w:tcW w:w="3800" w:type="dxa"/>
            <w:vAlign w:val="center"/>
          </w:tcPr>
          <w:p>
            <w:pPr>
              <w:jc w:val="center"/>
            </w:pPr>
            <w:r>
              <w:t>贵州省贵阳市观山湖区长岭北路中天·会展城B区金融商务区东区1-6栋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40011-96033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辽宁农村商业银行股份有限公司</w:t>
            </w:r>
          </w:p>
        </w:tc>
        <w:tc>
          <w:tcPr>
            <w:tcW w:w="1200" w:type="dxa"/>
            <w:vAlign w:val="center"/>
          </w:tcPr>
          <w:p>
            <w:pPr>
              <w:jc w:val="left"/>
            </w:pPr>
            <w:r>
              <w:t>住所</w:t>
            </w:r>
          </w:p>
        </w:tc>
        <w:tc>
          <w:tcPr>
            <w:tcW w:w="3800" w:type="dxa"/>
            <w:vAlign w:val="center"/>
          </w:tcPr>
          <w:p>
            <w:pPr>
              <w:jc w:val="center"/>
            </w:pPr>
            <w:r>
              <w:t>辽宁省沈阳市浑南区王滨街道王滨沟村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连云港东方农村商业银行股份有限公司</w:t>
            </w:r>
          </w:p>
        </w:tc>
        <w:tc>
          <w:tcPr>
            <w:tcW w:w="1200" w:type="dxa"/>
            <w:vAlign w:val="center"/>
          </w:tcPr>
          <w:p>
            <w:pPr>
              <w:jc w:val="left"/>
            </w:pPr>
            <w:r>
              <w:t>住所</w:t>
            </w:r>
          </w:p>
        </w:tc>
        <w:tc>
          <w:tcPr>
            <w:tcW w:w="3800" w:type="dxa"/>
            <w:vAlign w:val="center"/>
          </w:tcPr>
          <w:p>
            <w:pPr>
              <w:jc w:val="center"/>
            </w:pPr>
            <w:r>
              <w:t>江苏省连云港市海州区郁洲南路10号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连城县农村信用合作联社</w:t>
            </w:r>
          </w:p>
        </w:tc>
        <w:tc>
          <w:tcPr>
            <w:tcW w:w="1200" w:type="dxa"/>
            <w:vAlign w:val="center"/>
          </w:tcPr>
          <w:p>
            <w:pPr>
              <w:jc w:val="left"/>
            </w:pPr>
            <w:r>
              <w:t>住所</w:t>
            </w:r>
          </w:p>
        </w:tc>
        <w:tc>
          <w:tcPr>
            <w:tcW w:w="3800" w:type="dxa"/>
            <w:vAlign w:val="center"/>
          </w:tcPr>
          <w:p>
            <w:pPr>
              <w:jc w:val="center"/>
            </w:pPr>
            <w:r>
              <w:t>连城县莲峰镇北大东路64号（百花金城小区1号楼）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郑州银行股份有限公司</w:t>
            </w:r>
          </w:p>
        </w:tc>
        <w:tc>
          <w:tcPr>
            <w:tcW w:w="1200" w:type="dxa"/>
            <w:vAlign w:val="center"/>
          </w:tcPr>
          <w:p>
            <w:pPr>
              <w:jc w:val="left"/>
            </w:pPr>
            <w:r>
              <w:t>住所</w:t>
            </w:r>
          </w:p>
        </w:tc>
        <w:tc>
          <w:tcPr>
            <w:tcW w:w="3800" w:type="dxa"/>
            <w:vAlign w:val="center"/>
          </w:tcPr>
          <w:p>
            <w:pPr>
              <w:jc w:val="center"/>
            </w:pPr>
            <w:r>
              <w:t>郑州市郑东新区商务外环路22号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0371-67009898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重庆银行股份有限公司</w:t>
            </w:r>
          </w:p>
        </w:tc>
        <w:tc>
          <w:tcPr>
            <w:tcW w:w="1200" w:type="dxa"/>
            <w:vAlign w:val="center"/>
          </w:tcPr>
          <w:p>
            <w:pPr>
              <w:jc w:val="left"/>
            </w:pPr>
            <w:r>
              <w:t>住所</w:t>
            </w:r>
          </w:p>
        </w:tc>
        <w:tc>
          <w:tcPr>
            <w:tcW w:w="3800" w:type="dxa"/>
            <w:vAlign w:val="center"/>
          </w:tcPr>
          <w:p>
            <w:pPr>
              <w:jc w:val="center"/>
            </w:pPr>
            <w:r>
              <w:t>重庆市江北区永平门街6号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长安银行股份有限公司</w:t>
            </w:r>
          </w:p>
        </w:tc>
        <w:tc>
          <w:tcPr>
            <w:tcW w:w="1200" w:type="dxa"/>
            <w:vAlign w:val="center"/>
          </w:tcPr>
          <w:p>
            <w:pPr>
              <w:jc w:val="left"/>
            </w:pPr>
            <w:r>
              <w:t>住所</w:t>
            </w:r>
          </w:p>
        </w:tc>
        <w:tc>
          <w:tcPr>
            <w:tcW w:w="3800" w:type="dxa"/>
            <w:vAlign w:val="center"/>
          </w:tcPr>
          <w:p>
            <w:pPr>
              <w:jc w:val="center"/>
            </w:pPr>
            <w:r>
              <w:t>陕西省西安市高新区高新四路13号1幢1单元10101室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029-96669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长汀县农村信用合作联社</w:t>
            </w:r>
          </w:p>
        </w:tc>
        <w:tc>
          <w:tcPr>
            <w:tcW w:w="1200" w:type="dxa"/>
            <w:vAlign w:val="center"/>
          </w:tcPr>
          <w:p>
            <w:pPr>
              <w:jc w:val="left"/>
            </w:pPr>
            <w:r>
              <w:t>住所</w:t>
            </w:r>
          </w:p>
        </w:tc>
        <w:tc>
          <w:tcPr>
            <w:tcW w:w="3800" w:type="dxa"/>
            <w:vAlign w:val="center"/>
          </w:tcPr>
          <w:p>
            <w:pPr>
              <w:jc w:val="center"/>
            </w:pPr>
            <w:r>
              <w:t>长汀县汀州镇兆征路148号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长沙银行股份有限公司</w:t>
            </w:r>
          </w:p>
        </w:tc>
        <w:tc>
          <w:tcPr>
            <w:tcW w:w="1200" w:type="dxa"/>
            <w:vAlign w:val="center"/>
          </w:tcPr>
          <w:p>
            <w:pPr>
              <w:jc w:val="left"/>
            </w:pPr>
            <w:r>
              <w:t>住所</w:t>
            </w:r>
          </w:p>
        </w:tc>
        <w:tc>
          <w:tcPr>
            <w:tcW w:w="3800" w:type="dxa"/>
            <w:vAlign w:val="center"/>
          </w:tcPr>
          <w:p>
            <w:pPr>
              <w:jc w:val="center"/>
            </w:pPr>
            <w:r>
              <w:t>长沙市芙蓉中路一段433号长沙银行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0731-89934772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闽侯县农村信用合作联社</w:t>
            </w:r>
          </w:p>
        </w:tc>
        <w:tc>
          <w:tcPr>
            <w:tcW w:w="1200" w:type="dxa"/>
            <w:vAlign w:val="center"/>
          </w:tcPr>
          <w:p>
            <w:pPr>
              <w:jc w:val="left"/>
            </w:pPr>
            <w:r>
              <w:t>住所</w:t>
            </w:r>
          </w:p>
        </w:tc>
        <w:tc>
          <w:tcPr>
            <w:tcW w:w="3800" w:type="dxa"/>
            <w:vAlign w:val="center"/>
          </w:tcPr>
          <w:p>
            <w:pPr>
              <w:jc w:val="center"/>
            </w:pPr>
            <w:r>
              <w:t>闽侯县甘蔗镇入城路北侧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闽清县农村信用合作联社</w:t>
            </w:r>
          </w:p>
        </w:tc>
        <w:tc>
          <w:tcPr>
            <w:tcW w:w="1200" w:type="dxa"/>
            <w:vAlign w:val="center"/>
          </w:tcPr>
          <w:p>
            <w:pPr>
              <w:jc w:val="left"/>
            </w:pPr>
            <w:r>
              <w:t>住所</w:t>
            </w:r>
          </w:p>
        </w:tc>
        <w:tc>
          <w:tcPr>
            <w:tcW w:w="3800" w:type="dxa"/>
            <w:vAlign w:val="center"/>
          </w:tcPr>
          <w:p>
            <w:pPr>
              <w:jc w:val="center"/>
            </w:pPr>
            <w:r>
              <w:t>福建省福州市闽清县梅城镇西门街196号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霞浦县农村信用合作联社</w:t>
            </w:r>
          </w:p>
        </w:tc>
        <w:tc>
          <w:tcPr>
            <w:tcW w:w="1200" w:type="dxa"/>
            <w:vAlign w:val="center"/>
          </w:tcPr>
          <w:p>
            <w:pPr>
              <w:jc w:val="left"/>
            </w:pPr>
            <w:r>
              <w:t>住所</w:t>
            </w:r>
          </w:p>
        </w:tc>
        <w:tc>
          <w:tcPr>
            <w:tcW w:w="3800" w:type="dxa"/>
            <w:vAlign w:val="center"/>
          </w:tcPr>
          <w:p>
            <w:pPr>
              <w:jc w:val="center"/>
            </w:pPr>
            <w:r>
              <w:t>霞浦县赤岸大道11号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顺昌县农村信用合作联社</w:t>
            </w:r>
          </w:p>
        </w:tc>
        <w:tc>
          <w:tcPr>
            <w:tcW w:w="1200" w:type="dxa"/>
            <w:vAlign w:val="center"/>
          </w:tcPr>
          <w:p>
            <w:pPr>
              <w:jc w:val="left"/>
            </w:pPr>
            <w:r>
              <w:t>住所</w:t>
            </w:r>
          </w:p>
        </w:tc>
        <w:tc>
          <w:tcPr>
            <w:tcW w:w="3800" w:type="dxa"/>
            <w:vAlign w:val="center"/>
          </w:tcPr>
          <w:p>
            <w:pPr>
              <w:jc w:val="center"/>
            </w:pPr>
            <w:r>
              <w:t>顺昌县双溪中山中路53号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齐商银行股份有限公司</w:t>
            </w:r>
          </w:p>
        </w:tc>
        <w:tc>
          <w:tcPr>
            <w:tcW w:w="1200" w:type="dxa"/>
            <w:vAlign w:val="center"/>
          </w:tcPr>
          <w:p>
            <w:pPr>
              <w:jc w:val="left"/>
            </w:pPr>
            <w:r>
              <w:t>住所</w:t>
            </w:r>
          </w:p>
        </w:tc>
        <w:tc>
          <w:tcPr>
            <w:tcW w:w="3800" w:type="dxa"/>
            <w:vAlign w:val="center"/>
          </w:tcPr>
          <w:p>
            <w:pPr>
              <w:jc w:val="center"/>
            </w:pPr>
            <w:r>
              <w:t>山东省淄博市张店区人民西路212号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4008696588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齐鲁银行股份有限公司</w:t>
            </w:r>
          </w:p>
        </w:tc>
        <w:tc>
          <w:tcPr>
            <w:tcW w:w="1200" w:type="dxa"/>
            <w:vAlign w:val="center"/>
          </w:tcPr>
          <w:p>
            <w:pPr>
              <w:jc w:val="left"/>
            </w:pPr>
            <w:r>
              <w:t>住所</w:t>
            </w:r>
          </w:p>
        </w:tc>
        <w:tc>
          <w:tcPr>
            <w:tcW w:w="3800" w:type="dxa"/>
            <w:vAlign w:val="center"/>
          </w:tcPr>
          <w:p>
            <w:pPr>
              <w:jc w:val="center"/>
            </w:pPr>
            <w:r>
              <w:t>山东省济南市历下区经十路10817号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0531-86075850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龙岩市永定区农村信用合作联社</w:t>
            </w:r>
          </w:p>
        </w:tc>
        <w:tc>
          <w:tcPr>
            <w:tcW w:w="1200" w:type="dxa"/>
            <w:vAlign w:val="center"/>
          </w:tcPr>
          <w:p>
            <w:pPr>
              <w:jc w:val="left"/>
            </w:pPr>
            <w:r>
              <w:t>住所</w:t>
            </w:r>
          </w:p>
        </w:tc>
        <w:tc>
          <w:tcPr>
            <w:tcW w:w="3800" w:type="dxa"/>
            <w:vAlign w:val="center"/>
          </w:tcPr>
          <w:p>
            <w:pPr>
              <w:jc w:val="center"/>
            </w:pPr>
            <w:r>
              <w:t>福建省龙岩市永定区凤城街道沿河北路北198号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jc w:val="center"/>
            </w:pPr>
            <w:r>
              <w:t>销售机构职责</w:t>
            </w:r>
          </w:p>
        </w:tc>
        <w:tc>
          <w:tcPr>
            <w:tcW w:w="6600" w:type="dxa"/>
            <w:gridSpan w:val="3"/>
            <w:vAlign w:val="center"/>
          </w:tcPr>
          <w:p>
            <w:pPr>
              <w:jc w:val="left"/>
            </w:pPr>
            <w: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eastAsia="宋体" w:cs="宋体"/>
          <w:b/>
          <w:bCs/>
          <w:color w:val="000000"/>
          <w:kern w:val="2"/>
          <w:sz w:val="24"/>
          <w:szCs w:val="24"/>
          <w:highlight w:val="none"/>
          <w:lang w:val="en-US" w:eastAsia="zh-CN" w:bidi="ar-SA"/>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numPr>
          <w:ilvl w:val="0"/>
          <w:numId w:val="30"/>
        </w:numPr>
        <w:spacing w:line="360" w:lineRule="auto"/>
        <w:jc w:val="left"/>
        <w:outlineLvl w:val="9"/>
        <w:rPr>
          <w:rFonts w:hint="eastAsia" w:ascii="宋体" w:hAnsi="宋体" w:cs="宋体"/>
          <w:b/>
          <w:color w:val="000000"/>
          <w:sz w:val="24"/>
          <w:highlight w:val="none"/>
          <w:lang w:val="en-US" w:eastAsia="zh-CN"/>
        </w:rPr>
      </w:pPr>
      <w:r>
        <w:rPr>
          <w:rFonts w:hint="eastAsia" w:ascii="宋体" w:hAnsi="宋体" w:cs="宋体"/>
          <w:b/>
          <w:color w:val="000000"/>
          <w:sz w:val="24"/>
          <w:highlight w:val="none"/>
          <w:lang w:val="en-US" w:eastAsia="zh-CN"/>
        </w:rPr>
        <w:t>关联关系方</w:t>
      </w:r>
    </w:p>
    <w:tbl>
      <w:tblPr>
        <w:tblStyle w:val="8"/>
        <w:tblW w:w="87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140"/>
        <w:gridCol w:w="4424"/>
        <w:gridCol w:w="214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2140" w:type="dxa"/>
            <w:vAlign w:val="center"/>
          </w:tcPr>
          <w:p>
            <w:pPr>
              <w:jc w:val="center"/>
            </w:pPr>
            <w:r>
              <w:rPr>
                <w:rFonts w:ascii="宋体" w:hAnsi="宋体" w:eastAsia="宋体"/>
                <w:sz w:val="22"/>
              </w:rPr>
              <w:t>关联方类型</w:t>
            </w:r>
          </w:p>
        </w:tc>
        <w:tc>
          <w:tcPr>
            <w:tcW w:w="4424" w:type="dxa"/>
            <w:vAlign w:val="center"/>
          </w:tcPr>
          <w:p>
            <w:pPr>
              <w:jc w:val="center"/>
            </w:pPr>
            <w:r>
              <w:rPr>
                <w:rFonts w:ascii="宋体" w:hAnsi="宋体" w:eastAsia="宋体"/>
                <w:sz w:val="22"/>
              </w:rPr>
              <w:t>关联方机构名称</w:t>
            </w:r>
          </w:p>
        </w:tc>
        <w:tc>
          <w:tcPr>
            <w:tcW w:w="2140" w:type="dxa"/>
            <w:vAlign w:val="center"/>
          </w:tcPr>
          <w:p>
            <w:pPr>
              <w:jc w:val="center"/>
            </w:pPr>
            <w:r>
              <w:rPr>
                <w:rFonts w:ascii="宋体" w:hAnsi="宋体" w:eastAsia="宋体"/>
                <w:sz w:val="22"/>
              </w:rPr>
              <w:t>关联情况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2140" w:type="dxa"/>
            <w:vAlign w:val="center"/>
          </w:tcPr>
          <w:p>
            <w:pPr>
              <w:jc w:val="center"/>
            </w:pPr>
            <w:r>
              <w:rPr>
                <w:rFonts w:ascii="宋体" w:hAnsi="宋体" w:eastAsia="宋体"/>
                <w:sz w:val="22"/>
              </w:rPr>
              <w:t>托管机构</w:t>
            </w:r>
          </w:p>
        </w:tc>
        <w:tc>
          <w:tcPr>
            <w:tcW w:w="4424" w:type="dxa"/>
            <w:vAlign w:val="center"/>
          </w:tcPr>
          <w:p>
            <w:pPr>
              <w:jc w:val="center"/>
            </w:pPr>
            <w:r>
              <w:rPr>
                <w:rFonts w:ascii="宋体" w:hAnsi="宋体" w:eastAsia="宋体"/>
                <w:sz w:val="22"/>
              </w:rPr>
              <w:t>杭州银行股份有限公司</w:t>
            </w:r>
          </w:p>
        </w:tc>
        <w:tc>
          <w:tcPr>
            <w:tcW w:w="2140" w:type="dxa"/>
            <w:vAlign w:val="center"/>
          </w:tcPr>
          <w:p>
            <w:pPr>
              <w:jc w:val="center"/>
            </w:pPr>
            <w:r>
              <w:rPr>
                <w:rFonts w:ascii="宋体" w:hAnsi="宋体" w:eastAsia="宋体"/>
                <w:sz w:val="22"/>
              </w:rPr>
              <w:t>控股股东</w:t>
            </w:r>
          </w:p>
        </w:tc>
      </w:tr>
    </w:tbl>
    <w:p>
      <w:pPr>
        <w:spacing w:line="360" w:lineRule="auto"/>
        <w:jc w:val="left"/>
        <w:rPr>
          <w:rFonts w:ascii="宋体" w:hAnsi="宋体" w:cs="宋体"/>
          <w:bCs/>
          <w:color w:val="000000"/>
          <w:sz w:val="24"/>
          <w:highlight w:val="none"/>
        </w:rPr>
      </w:pPr>
    </w:p>
    <w:p>
      <w:pPr>
        <w:numPr>
          <w:ilvl w:val="0"/>
          <w:numId w:val="28"/>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w:t>
      </w:r>
    </w:p>
    <w:p>
      <w:pPr>
        <w:numPr>
          <w:ilvl w:val="0"/>
          <w:numId w:val="3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w:t>
      </w:r>
      <w:r>
        <w:rPr>
          <w:rFonts w:hint="eastAsia" w:ascii="宋体" w:hAnsi="宋体" w:cs="宋体"/>
          <w:bCs/>
          <w:color w:val="000000"/>
          <w:sz w:val="24"/>
          <w:highlight w:val="none"/>
        </w:rPr>
        <w:t>日，定期由理财管理人和理财托管人核对估值结果并向投资者披露，具体日期以管理人公告为准。</w:t>
      </w:r>
    </w:p>
    <w:p>
      <w:pPr>
        <w:numPr>
          <w:ilvl w:val="0"/>
          <w:numId w:val="3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color w:val="000000"/>
          <w:sz w:val="24"/>
          <w:highlight w:val="none"/>
        </w:rPr>
      </w:pPr>
      <w:r>
        <w:rPr>
          <w:rFonts w:hint="eastAsia"/>
          <w:color w:val="000000"/>
          <w:sz w:val="24"/>
          <w:highlight w:val="none"/>
        </w:rPr>
        <w:t>理财计划所投资各类资产按照会计准则和监管要求进行会计分类，并按如下规则进行计量：</w:t>
      </w:r>
    </w:p>
    <w:p>
      <w:pPr>
        <w:numPr>
          <w:ilvl w:val="0"/>
          <w:numId w:val="32"/>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color w:val="000000"/>
          <w:kern w:val="2"/>
          <w:highlight w:val="none"/>
          <w:lang w:eastAsia="zh-CN"/>
        </w:rPr>
      </w:pPr>
      <w:r>
        <w:rPr>
          <w:rFonts w:hint="eastAsia" w:ascii="宋体" w:hAnsi="宋体" w:cs="宋体"/>
          <w:bCs/>
          <w:color w:val="000000"/>
          <w:kern w:val="2"/>
          <w:highlight w:val="none"/>
          <w:lang w:eastAsia="zh-CN"/>
        </w:rPr>
        <w:t>银行存款</w:t>
      </w:r>
      <w:r>
        <w:rPr>
          <w:rFonts w:hint="eastAsia" w:ascii="宋体" w:hAnsi="宋体" w:cs="宋体"/>
          <w:bCs/>
          <w:color w:val="000000"/>
          <w:kern w:val="2"/>
          <w:highlight w:val="none"/>
        </w:rPr>
        <w:t>及回购，以本金列示，按商定利率在实际持有期间内逐日计提利息。</w:t>
      </w:r>
    </w:p>
    <w:p>
      <w:pPr>
        <w:numPr>
          <w:ilvl w:val="0"/>
          <w:numId w:val="32"/>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2"/>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rPr>
          <w:rFonts w:ascii="宋体" w:hAnsi="宋体" w:cs="宋体"/>
          <w:bCs/>
          <w:color w:val="000000"/>
          <w:sz w:val="24"/>
          <w:highlight w:val="none"/>
        </w:rPr>
      </w:pPr>
      <w:r>
        <w:rPr>
          <w:rFonts w:hint="eastAsia" w:ascii="宋体" w:hAnsi="宋体" w:cs="宋体"/>
          <w:bCs/>
          <w:color w:val="000000"/>
          <w:sz w:val="24"/>
          <w:highlight w:val="none"/>
          <w:lang w:val="en-US" w:eastAsia="zh-CN"/>
        </w:rPr>
        <w:t xml:space="preserve">    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2"/>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rPr>
          <w:rFonts w:hint="eastAsia" w:ascii="宋体" w:hAnsi="宋体"/>
          <w:color w:val="000000"/>
          <w:sz w:val="24"/>
          <w:highlight w:val="none"/>
        </w:rPr>
      </w:pPr>
      <w:r>
        <w:rPr>
          <w:rFonts w:hint="eastAsia" w:ascii="宋体" w:hAnsi="宋体" w:cs="宋体"/>
          <w:bCs/>
          <w:color w:val="000000"/>
          <w:sz w:val="24"/>
          <w:highlight w:val="none"/>
          <w:lang w:val="en-US" w:eastAsia="zh-CN"/>
        </w:rPr>
        <w:t xml:space="preserve">      1）</w:t>
      </w:r>
      <w:r>
        <w:rPr>
          <w:rFonts w:hint="eastAsia" w:ascii="宋体" w:hAnsi="宋体"/>
          <w:color w:val="000000"/>
          <w:sz w:val="24"/>
          <w:highlight w:val="none"/>
        </w:rPr>
        <w:t>送股、转增股、配股和公开增发新股等发行未上市的股票，按估值日在证券交易所挂牌的同一股票的市价估值；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2）</w:t>
      </w:r>
      <w:r>
        <w:rPr>
          <w:rFonts w:hint="eastAsia" w:ascii="宋体" w:hAnsi="宋体"/>
          <w:color w:val="000000"/>
          <w:sz w:val="24"/>
          <w:highlight w:val="none"/>
        </w:rPr>
        <w:t>首次公开发行有明确锁定期的股票，同一股票在交易所上市后，按交易所上市的同一股票的市价估值；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3）</w:t>
      </w:r>
      <w:r>
        <w:rPr>
          <w:rFonts w:hint="eastAsia" w:ascii="宋体" w:hAnsi="宋体"/>
          <w:color w:val="000000"/>
          <w:sz w:val="24"/>
          <w:highlight w:val="none"/>
        </w:rPr>
        <w:t>首次发行未上市的股票，按发行价格进行估值；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4）</w:t>
      </w:r>
      <w:r>
        <w:rPr>
          <w:rFonts w:hint="eastAsia" w:ascii="宋体" w:hAnsi="宋体"/>
          <w:color w:val="000000"/>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color w:val="000000"/>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color w:val="000000"/>
          <w:kern w:val="2"/>
          <w:highlight w:val="none"/>
          <w:lang w:eastAsia="zh-CN"/>
        </w:rPr>
        <w:t>按最能反映公允价值的价格估值，</w:t>
      </w:r>
      <w:r>
        <w:rPr>
          <w:rFonts w:hint="eastAsia" w:ascii="宋体" w:hAnsi="宋体" w:cs="宋体"/>
          <w:bCs/>
          <w:color w:val="000000"/>
          <w:kern w:val="2"/>
          <w:highlight w:val="none"/>
        </w:rPr>
        <w:t>并自协商一致日后执行。</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暂停估值情形</w:t>
      </w:r>
    </w:p>
    <w:p>
      <w:pPr>
        <w:numPr>
          <w:ilvl w:val="0"/>
          <w:numId w:val="3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费用及税收</w:t>
      </w:r>
    </w:p>
    <w:p>
      <w:pPr>
        <w:numPr>
          <w:ilvl w:val="0"/>
          <w:numId w:val="35"/>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费用种类</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、托管费、固定管理费、认购费、浮动管理费以及理财计划运作和清算中产生的其他费用等。</w:t>
      </w:r>
    </w:p>
    <w:p>
      <w:pPr>
        <w:numPr>
          <w:ilvl w:val="0"/>
          <w:numId w:val="35"/>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费用计提方法、标准及支付方式</w:t>
      </w:r>
    </w:p>
    <w:p>
      <w:pPr>
        <w:numPr>
          <w:ilvl w:val="0"/>
          <w:numId w:val="36"/>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lang w:eastAsia="zh-CN"/>
        </w:rPr>
        <w:t>销售服务费</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理财计划财产分为每日计提销售服务费的〖A份额〗、〖B份额〗、〖C份额〗、〖D份额〗、〖E份额〗、〖G份额〗、〖H份额〗、〖I份额〗、〖J份额〗、〖M份额〗、〖P份额〗、〖Q份额〗、〖X份额〗和销售服务费于产品成立日一次性收取的〖F份额〗、〖N份额〗、〖O份额〗、〖R份额〗、〖T份额〗、〖W份额〗、〖Y份额〗、〖Z份额〗、〖ZA份额〗、〖ZC份额〗、〖ZD份额〗、〖ZE份额〗、〖ZF份额〗、〖ZG份额〗、〖ZJ份额〗、〖ZL份额〗。A份额的年化销售服务费率为〖0.30%〗, B份额的年化销售服务费率为〖0.20%〗, C份额的年化销售服务费率为〖0.10%〗, D份额的年化销售服务费率为〖0.15%〗, E份额的年化销售服务费率为〖0.40%〗, F份额的年化销售服务费率为〖0.40%〗, G份额的年化销售服务费率为〖0.05%〗, H份额的年化销售服务费率为〖0.05%〗, I份额的年化销售服务费率为〖0.30%〗, J份额的年化销售服务费率为〖0.05%〗, M份额的年化销售服务费率为〖0.15%〗, N份额的年化销售服务费率为〖0.20%〗, O份额的年化销售服务费率为〖0.30%〗, P份额的年化销售服务费率为〖0.15%〗, Q份额的年化销售服务费率为〖0.25%〗, R份额的年化销售服务费率为〖0.20%〗, T份额的年化销售服务费率为〖0.20%〗, W份额的年化销售服务费率为〖0.30%〗, X份额的年化销售服务费率为〖0.05%〗, Y份额的年化销售服务费率为〖0.20%〗, Z份额的年化销售服务费率为〖0.10%〗, ZA份额的年化销售服务费率为〖0.15%〗, ZC份额的年化销售服务费率为〖0.15%〗, ZD份额的年化销售服务费率为〖0.05%〗, ZE份额的年化销售服务费率为〖0.25%〗, ZF份额的年化销售服务费率为〖0.25%〗, ZG份额的年化销售服务费率为〖0.20%〗, ZJ份额的年化销售服务费率为〖0.20%〗, ZL份额的年化销售服务费率为〖0.05%〗。两种计算方法如下：</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（1）销售服务费按日计提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H1＝E1×〖0.30%〗÷365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H1为〖A份额〗每日应计提的销售服务费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E1为〖A份额〗前一日资产净值</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销售服务费原则上按日计提。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（2）销售服务费一次性收取</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H2＝E2×〖0.40%〗×P2÷365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H2为〖F份额〗应计提的销售服务费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E2为〖F份额〗成立日产品份额</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P2为产品投资期限天数</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销售服务费于产品成立日一次性收取，每日摊销。</w:t>
      </w:r>
    </w:p>
    <w:p>
      <w:pPr>
        <w:numPr>
          <w:ilvl w:val="0"/>
          <w:numId w:val="36"/>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 w:val="24"/>
          <w:szCs w:val="24"/>
          <w:highlight w:val="none"/>
          <w:lang w:eastAsia="zh-CN"/>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bCs/>
          <w:color w:val="000000"/>
          <w:kern w:val="2"/>
          <w:sz w:val="24"/>
          <w:szCs w:val="24"/>
          <w:highlight w:val="none"/>
          <w:lang w:val="en-US" w:eastAsia="zh-CN" w:bidi="ar-SA"/>
        </w:rPr>
        <w:t>A份额的年化固定管理费率为〖0.10%〗, B份额的年化固定管理费率为〖0.10%〗, C份额的年化固定管理费率为〖0.10%〗, D份额的年化固定管理费率为〖0.10%〗, E份额的年化固定管理费率为〖0.15%〗, F份额的年化固定管理费率为〖0.10%〗, G份额的年化固定管理费率为〖0.10%〗, H份额的年化固定管理费率为〖0.10%〗, I份额的年化固定管理费率为〖0.10%〗, J份额的年化固定管理费率为〖0.10%〗, M份额的年化固定管理费率为〖0.00%〗, N份额的年化固定管理费率为〖0.10%〗, O份额的年化固定管理费率为〖0.10%〗, P份额的年化固定管理费率为〖0.00%〗, Q份额的年化固定管理费率为〖0.10%〗, R份额的年化固定管理费率为〖0.10%〗, T份额的年化固定管理费率为〖0.05%〗, W份额的年化固定管理费率为〖0.10%〗, X份额的年化固定管理费率为〖0.10%〗, Y份额的年化固定管理费率为〖0.10%〗, Z份额的年化固定管理费率为〖0.10%〗, ZA份额的年化固定管理费率为〖0.10%〗, ZC份额的年化固定管理费率为〖0.10%〗, ZD份额的年化固定管理费率为〖0.10%〗, ZE份额的年化固定管理费率为〖0.10%〗, ZF份额的年化固定管理费率为〖0.10%〗, ZG份额的年化固定管理费率为〖0.05%〗, ZJ份额的年化固定管理费率为〖0.10%〗, ZL份额的年化固定管理费率为〖0.10%〗, 以〖A份额〗</w:t>
      </w:r>
      <w:r>
        <w:rPr>
          <w:rFonts w:hint="eastAsia" w:ascii="宋体" w:hAnsi="宋体" w:cs="宋体"/>
          <w:bCs/>
          <w:color w:val="000000"/>
          <w:sz w:val="24"/>
          <w:highlight w:val="none"/>
        </w:rPr>
        <w:t>为例，计算方法如下：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0.10</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r>
        <w:rPr>
          <w:rFonts w:hint="eastAsia"/>
          <w:color w:val="000000"/>
          <w:lang w:eastAsia="zh-CN"/>
        </w:rPr>
        <w:t>。</w:t>
      </w:r>
    </w:p>
    <w:p>
      <w:pPr>
        <w:numPr>
          <w:ilvl w:val="0"/>
          <w:numId w:val="36"/>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认购费</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本理财计划免除认购费。</w:t>
      </w:r>
    </w:p>
    <w:p>
      <w:pPr>
        <w:numPr>
          <w:ilvl w:val="0"/>
          <w:numId w:val="36"/>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理财管理人根据理财计划投资情况计算浮动管理费，浮动管理费原则上按估值日计提，到期收取。以〖A份额〗为例，具体计算方法如下：</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（1）若本理财计划到期日（提前终止日）的折合年化收益率超过业绩比较基准下限但未达到业绩比较基准上限，则超过业绩比较基准下限的部分管理人收取〖50%〗作为浮动管理费，即：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若本理财计划到期日（提前终止日）的折合年化收益率超过业绩比较基准上限，则〖业绩比较基准下限(含)至上限(含)〗的部分管理人收取〖50%〗作为浮动管理费，超过〖业绩比较基准上限〗的部分管理人收取〖80%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H=E×NAV0×[(K-R)×〖80%〗+(R-S)×〖50%〗]×N÷365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H为理财计划到期（提前终止）时应收取浮动管理费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E为投资者持有份额</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K为收取浮动管理费前投资者持有份额对应持有区间折合年化收益率</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NAV0为理财计划成立日之初的单位净值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NAV1为理财计划到期日未扣除浮动管理费前的单位净值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R为理财计划业绩比较基准上限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S为理财计划业绩比较基准下限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N为理财计划份额成立日（含）至估值日（含）的区间天数</w:t>
      </w:r>
    </w:p>
    <w:p>
      <w:pPr>
        <w:spacing w:line="360" w:lineRule="auto"/>
        <w:ind w:firstLine="480" w:firstLineChars="200"/>
        <w:jc w:val="left"/>
        <w:rPr>
          <w:rFonts w:hint="eastAsia" w:ascii="宋体" w:hAnsi="宋体" w:eastAsia="宋体" w:cs="宋体"/>
          <w:bCs/>
          <w:color w:val="000000"/>
          <w:kern w:val="2"/>
          <w:sz w:val="24"/>
          <w:szCs w:val="24"/>
          <w:highlight w:val="none"/>
          <w:lang w:val="en-US" w:eastAsia="zh-CN" w:bidi="ar-SA"/>
        </w:rPr>
      </w:pPr>
      <w:r>
        <w:rPr>
          <w:rFonts w:hint="eastAsia" w:ascii="宋体" w:hAnsi="宋体" w:eastAsia="宋体" w:cs="宋体"/>
          <w:color w:val="000000"/>
          <w:kern w:val="2"/>
          <w:sz w:val="24"/>
          <w:szCs w:val="24"/>
          <w:lang w:val="en-US" w:eastAsia="zh-CN" w:bidi="ar"/>
        </w:rPr>
        <w:t>T为理财计划运作期间每单位份额的实际分红金额合计（如有）</w:t>
      </w:r>
    </w:p>
    <w:p>
      <w:pPr>
        <w:numPr>
          <w:ilvl w:val="0"/>
          <w:numId w:val="36"/>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lang w:eastAsia="zh-CN"/>
        </w:rPr>
        <w:t>信息技术服务费</w:t>
      </w:r>
    </w:p>
    <w:p>
      <w:pPr>
        <w:spacing w:line="360" w:lineRule="auto"/>
        <w:ind w:firstLine="480" w:firstLineChars="200"/>
        <w:jc w:val="left"/>
        <w:rPr>
          <w:rFonts w:hint="eastAsia" w:ascii="宋体" w:hAnsi="宋体" w:cs="宋体"/>
          <w:bCs/>
          <w:color w:val="000000"/>
          <w:sz w:val="24"/>
          <w:highlight w:val="none"/>
          <w:lang w:eastAsia="zh-CN"/>
        </w:rPr>
      </w:pPr>
      <w:r>
        <w:rPr>
          <w:rFonts w:hint="eastAsia" w:ascii="宋体" w:hAnsi="宋体" w:cs="宋体"/>
          <w:bCs/>
          <w:color w:val="000000"/>
          <w:sz w:val="24"/>
          <w:highlight w:val="none"/>
          <w:lang w:eastAsia="zh-CN"/>
        </w:rPr>
        <w:t>理财计划财产的年化信息技术服务费为〖</w:t>
      </w:r>
      <w:r>
        <w:rPr>
          <w:rFonts w:hint="eastAsia" w:ascii="宋体" w:hAnsi="宋体" w:cs="宋体"/>
          <w:bCs/>
          <w:color w:val="000000"/>
          <w:sz w:val="24"/>
          <w:highlight w:val="none"/>
          <w:lang w:val="en-US" w:eastAsia="zh-CN"/>
        </w:rPr>
        <w:t>0.002</w:t>
      </w:r>
      <w:r>
        <w:rPr>
          <w:rFonts w:hint="eastAsia" w:ascii="宋体" w:hAnsi="宋体" w:cs="宋体"/>
          <w:bCs/>
          <w:color w:val="000000"/>
          <w:sz w:val="24"/>
          <w:highlight w:val="none"/>
          <w:lang w:eastAsia="zh-CN"/>
        </w:rPr>
        <w:t>%〗，计算方法如下：</w:t>
      </w:r>
    </w:p>
    <w:p>
      <w:pPr>
        <w:spacing w:line="360" w:lineRule="auto"/>
        <w:ind w:firstLine="480" w:firstLineChars="200"/>
        <w:jc w:val="left"/>
        <w:rPr>
          <w:rFonts w:hint="eastAsia" w:ascii="宋体" w:hAnsi="宋体" w:cs="宋体"/>
          <w:bCs/>
          <w:color w:val="000000"/>
          <w:sz w:val="24"/>
          <w:highlight w:val="none"/>
          <w:lang w:eastAsia="zh-CN"/>
        </w:rPr>
      </w:pPr>
      <w:r>
        <w:rPr>
          <w:rFonts w:hint="eastAsia" w:ascii="宋体" w:hAnsi="宋体" w:cs="宋体"/>
          <w:bCs/>
          <w:color w:val="000000"/>
          <w:sz w:val="24"/>
          <w:highlight w:val="none"/>
          <w:lang w:eastAsia="zh-CN"/>
        </w:rPr>
        <w:t>H＝E×〖</w:t>
      </w:r>
      <w:r>
        <w:rPr>
          <w:rFonts w:hint="eastAsia" w:ascii="宋体" w:hAnsi="宋体" w:cs="宋体"/>
          <w:bCs/>
          <w:color w:val="000000"/>
          <w:sz w:val="24"/>
          <w:highlight w:val="none"/>
          <w:lang w:val="en-US" w:eastAsia="zh-CN"/>
        </w:rPr>
        <w:t>0.002</w:t>
      </w:r>
      <w:r>
        <w:rPr>
          <w:rFonts w:hint="eastAsia" w:ascii="宋体" w:hAnsi="宋体" w:cs="宋体"/>
          <w:bCs/>
          <w:color w:val="000000"/>
          <w:sz w:val="24"/>
          <w:highlight w:val="none"/>
          <w:lang w:eastAsia="zh-CN"/>
        </w:rPr>
        <w:t>%〗÷365</w:t>
      </w:r>
    </w:p>
    <w:p>
      <w:pPr>
        <w:spacing w:line="360" w:lineRule="auto"/>
        <w:ind w:firstLine="480" w:firstLineChars="200"/>
        <w:jc w:val="left"/>
        <w:rPr>
          <w:rFonts w:hint="eastAsia" w:ascii="宋体" w:hAnsi="宋体" w:cs="宋体"/>
          <w:bCs/>
          <w:color w:val="000000"/>
          <w:sz w:val="24"/>
          <w:highlight w:val="none"/>
          <w:lang w:eastAsia="zh-CN"/>
        </w:rPr>
      </w:pPr>
      <w:r>
        <w:rPr>
          <w:rFonts w:hint="eastAsia" w:ascii="宋体" w:hAnsi="宋体" w:cs="宋体"/>
          <w:bCs/>
          <w:color w:val="000000"/>
          <w:sz w:val="24"/>
          <w:highlight w:val="none"/>
          <w:lang w:eastAsia="zh-CN"/>
        </w:rPr>
        <w:t>H为每日应计提的信息技术服务费</w:t>
      </w:r>
    </w:p>
    <w:p>
      <w:pPr>
        <w:spacing w:line="360" w:lineRule="auto"/>
        <w:ind w:firstLine="480" w:firstLineChars="200"/>
        <w:jc w:val="left"/>
        <w:rPr>
          <w:rFonts w:hint="eastAsia" w:ascii="宋体" w:hAnsi="宋体" w:cs="宋体"/>
          <w:bCs/>
          <w:color w:val="000000"/>
          <w:sz w:val="24"/>
          <w:highlight w:val="none"/>
          <w:lang w:eastAsia="zh-CN"/>
        </w:rPr>
      </w:pPr>
      <w:r>
        <w:rPr>
          <w:rFonts w:hint="eastAsia" w:ascii="宋体" w:hAnsi="宋体" w:cs="宋体"/>
          <w:bCs/>
          <w:color w:val="000000"/>
          <w:sz w:val="24"/>
          <w:highlight w:val="none"/>
          <w:lang w:eastAsia="zh-CN"/>
        </w:rPr>
        <w:t>E为本理财计划前一日资产净值</w:t>
      </w:r>
    </w:p>
    <w:p>
      <w:pPr>
        <w:spacing w:line="360" w:lineRule="auto"/>
        <w:ind w:firstLine="480" w:firstLineChars="200"/>
        <w:jc w:val="left"/>
        <w:rPr>
          <w:rFonts w:hint="eastAsia" w:ascii="宋体" w:hAnsi="宋体" w:cs="宋体"/>
          <w:bCs/>
          <w:color w:val="000000"/>
          <w:sz w:val="24"/>
          <w:highlight w:val="none"/>
          <w:lang w:eastAsia="zh-CN"/>
        </w:rPr>
      </w:pPr>
      <w:r>
        <w:rPr>
          <w:rFonts w:hint="eastAsia" w:ascii="宋体" w:hAnsi="宋体" w:cs="宋体"/>
          <w:bCs/>
          <w:color w:val="000000"/>
          <w:sz w:val="24"/>
          <w:highlight w:val="none"/>
          <w:lang w:eastAsia="zh-CN"/>
        </w:rPr>
        <w:t>信息技术服务费原则上按日计提。</w:t>
      </w:r>
    </w:p>
    <w:p>
      <w:pPr>
        <w:numPr>
          <w:ilvl w:val="0"/>
          <w:numId w:val="36"/>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37"/>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财产管理、运用或处分过程中发生的税费。</w:t>
      </w:r>
    </w:p>
    <w:p>
      <w:pPr>
        <w:numPr>
          <w:ilvl w:val="0"/>
          <w:numId w:val="37"/>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代理机构手续费、管理费、财务顾问费、保管费。</w:t>
      </w:r>
    </w:p>
    <w:p>
      <w:pPr>
        <w:numPr>
          <w:ilvl w:val="0"/>
          <w:numId w:val="37"/>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审计费、律师费、公证费等费用。</w:t>
      </w:r>
    </w:p>
    <w:p>
      <w:pPr>
        <w:numPr>
          <w:ilvl w:val="0"/>
          <w:numId w:val="37"/>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管理人自行或委托第三方向本理财计划所投资产所涉及相关主体进行追偿所发生的费用（包括但不限于诉讼费、仲裁费、律师费、保全费等全部费用）。</w:t>
      </w:r>
    </w:p>
    <w:p>
      <w:pPr>
        <w:numPr>
          <w:ilvl w:val="0"/>
          <w:numId w:val="37"/>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理财计划的交易费用（包括但不限于交易佣金、相关账户费用等）及投资其他资管产品的费用。</w:t>
      </w:r>
    </w:p>
    <w:p>
      <w:pPr>
        <w:numPr>
          <w:ilvl w:val="0"/>
          <w:numId w:val="37"/>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监管规定的其他费用。</w:t>
      </w:r>
    </w:p>
    <w:p>
      <w:pPr>
        <w:spacing w:line="360" w:lineRule="auto"/>
        <w:jc w:val="left"/>
        <w:rPr>
          <w:rFonts w:ascii="宋体" w:hAnsi="宋体" w:cs="宋体"/>
          <w:bCs/>
          <w:color w:val="000000"/>
          <w:sz w:val="24"/>
          <w:highlight w:val="none"/>
        </w:rPr>
      </w:pPr>
      <w:r>
        <w:rPr>
          <w:rFonts w:hint="eastAsia" w:ascii="宋体" w:hAnsi="宋体" w:cs="宋体"/>
          <w:bCs/>
          <w:color w:val="000000"/>
          <w:sz w:val="24"/>
          <w:highlight w:val="none"/>
        </w:rPr>
        <w:t xml:space="preserve">    </w:t>
      </w:r>
      <w:r>
        <w:rPr>
          <w:rFonts w:hint="eastAsia" w:ascii="宋体" w:hAnsi="宋体" w:cs="宋体"/>
          <w:b/>
          <w:color w:val="000000"/>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投资者知晓并同意接受上述调整且继续持有本理财计划。</w:t>
      </w:r>
    </w:p>
    <w:p>
      <w:pPr>
        <w:numPr>
          <w:ilvl w:val="0"/>
          <w:numId w:val="38"/>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税收说明</w:t>
      </w:r>
    </w:p>
    <w:p>
      <w:pPr>
        <w:numPr>
          <w:ilvl w:val="0"/>
          <w:numId w:val="39"/>
        </w:numPr>
        <w:spacing w:line="360" w:lineRule="auto"/>
        <w:jc w:val="left"/>
        <w:rPr>
          <w:color w:val="000000"/>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9"/>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39"/>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color w:val="000000"/>
          <w:sz w:val="24"/>
          <w:highlight w:val="none"/>
        </w:rPr>
      </w:pPr>
    </w:p>
    <w:p>
      <w:pPr>
        <w:numPr>
          <w:ilvl w:val="0"/>
          <w:numId w:val="28"/>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收益计算</w:t>
      </w:r>
    </w:p>
    <w:p>
      <w:pPr>
        <w:numPr>
          <w:ilvl w:val="0"/>
          <w:numId w:val="4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投资者理财收益＝认购份额×到期日（提前终止日）单位净值+份额持有期间累计分红-认购金额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认购份额=认购金额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到期日（提前终止日）单位净值为提取相关费用及税费后的单位理财计划份额净值。</w:t>
      </w:r>
    </w:p>
    <w:p>
      <w:pPr>
        <w:numPr>
          <w:ilvl w:val="0"/>
          <w:numId w:val="4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示例说明</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1"/>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w:t>
      </w:r>
      <w:r>
        <w:rPr>
          <w:rFonts w:hint="eastAsia" w:ascii="宋体" w:hAnsi="宋体" w:cs="宋体"/>
          <w:b/>
          <w:bCs/>
          <w:color w:val="000000"/>
          <w:kern w:val="2"/>
          <w:sz w:val="24"/>
          <w:szCs w:val="24"/>
          <w:lang w:val="en-US" w:eastAsia="zh-CN" w:bidi="ar"/>
        </w:rPr>
        <w:t>等</w:t>
      </w:r>
      <w:r>
        <w:rPr>
          <w:rFonts w:hint="eastAsia" w:ascii="宋体" w:hAnsi="宋体" w:eastAsia="宋体" w:cs="宋体"/>
          <w:b/>
          <w:bCs/>
          <w:color w:val="000000"/>
          <w:kern w:val="2"/>
          <w:sz w:val="24"/>
          <w:szCs w:val="24"/>
          <w:lang w:val="en-US" w:eastAsia="zh-CN" w:bidi="ar"/>
        </w:rPr>
        <w:t>后，投资收益率超过〖业绩比较基准上限〗。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w:t>
      </w:r>
      <w:r>
        <w:rPr>
          <w:rFonts w:hint="eastAsia" w:ascii="宋体" w:hAnsi="宋体" w:cs="宋体"/>
          <w:color w:val="000000"/>
          <w:kern w:val="2"/>
          <w:sz w:val="24"/>
          <w:szCs w:val="24"/>
          <w:lang w:val="en-US" w:eastAsia="zh-CN" w:bidi="ar"/>
        </w:rPr>
        <w:t>等</w:t>
      </w:r>
      <w:r>
        <w:rPr>
          <w:rFonts w:hint="eastAsia" w:ascii="宋体" w:hAnsi="宋体" w:eastAsia="宋体" w:cs="宋体"/>
          <w:color w:val="000000"/>
          <w:kern w:val="2"/>
          <w:sz w:val="24"/>
          <w:szCs w:val="24"/>
          <w:lang w:val="en-US" w:eastAsia="zh-CN" w:bidi="ar"/>
        </w:rPr>
        <w:t>后，如理财计划未扣除浮动管理费前的净值为1.0615，此时，(1.0615÷1.0000-1)×365÷362=6.20%&gt;5.00%，即在〖4.00%-5.00%〗部分的投资收益管理人收取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%作为浮动管理费，超过〖5.00%〗部分的投资收益管理人收取</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100,000×1.0000×{[（1.0615÷1.0000-1）×365÷362-5.00%]×</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%+(5.00%-4.00%)×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 4,</w:t>
      </w:r>
      <w:r>
        <w:rPr>
          <w:rFonts w:hint="eastAsia" w:ascii="宋体" w:hAnsi="宋体" w:cs="宋体"/>
          <w:color w:val="000000"/>
          <w:kern w:val="2"/>
          <w:sz w:val="24"/>
          <w:szCs w:val="24"/>
          <w:lang w:val="en-US" w:eastAsia="zh-CN" w:bidi="ar"/>
        </w:rPr>
        <w:t>701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23</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1"/>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w:t>
      </w:r>
      <w:r>
        <w:rPr>
          <w:rFonts w:hint="eastAsia" w:ascii="宋体" w:hAnsi="宋体" w:cs="宋体"/>
          <w:b/>
          <w:bCs/>
          <w:color w:val="000000"/>
          <w:kern w:val="2"/>
          <w:sz w:val="24"/>
          <w:szCs w:val="24"/>
          <w:lang w:val="en-US" w:eastAsia="zh-CN" w:bidi="ar"/>
        </w:rPr>
        <w:t>等</w:t>
      </w:r>
      <w:r>
        <w:rPr>
          <w:rFonts w:hint="eastAsia" w:ascii="宋体" w:hAnsi="宋体" w:eastAsia="宋体" w:cs="宋体"/>
          <w:b/>
          <w:bCs/>
          <w:color w:val="000000"/>
          <w:kern w:val="2"/>
          <w:sz w:val="24"/>
          <w:szCs w:val="24"/>
          <w:lang w:val="en-US" w:eastAsia="zh-CN" w:bidi="ar"/>
        </w:rPr>
        <w:t>后，投资收益率超过业绩比较基准下限，但未达到业绩比较基准上限。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w:t>
      </w:r>
      <w:r>
        <w:rPr>
          <w:rFonts w:hint="eastAsia" w:ascii="宋体" w:hAnsi="宋体" w:cs="宋体"/>
          <w:color w:val="000000"/>
          <w:kern w:val="2"/>
          <w:sz w:val="24"/>
          <w:szCs w:val="24"/>
          <w:lang w:val="en-US" w:eastAsia="zh-CN" w:bidi="ar"/>
        </w:rPr>
        <w:t>等</w:t>
      </w:r>
      <w:r>
        <w:rPr>
          <w:rFonts w:hint="eastAsia" w:ascii="宋体" w:hAnsi="宋体" w:eastAsia="宋体" w:cs="宋体"/>
          <w:color w:val="000000"/>
          <w:kern w:val="2"/>
          <w:sz w:val="24"/>
          <w:szCs w:val="24"/>
          <w:lang w:val="en-US" w:eastAsia="zh-CN" w:bidi="ar"/>
        </w:rPr>
        <w:t>后，如理财计划未扣除浮动管理费前的净值为1.0415，此时，(1.0415÷1.0000-1)×365÷362=4.18%，即投资收益超过〖4.00%〗但未达到〖5.00%〗，则超过〖4.00%〗部分的投资收益管理人收取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100,000.00×1.0000×[(1.0415÷1.0000-1)×365÷362-4.00%]×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100,000.00×（1.0415-1.0000）-</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 xml:space="preserve"> =4,0</w:t>
      </w:r>
      <w:r>
        <w:rPr>
          <w:rFonts w:hint="eastAsia" w:ascii="宋体" w:hAnsi="宋体" w:cs="宋体"/>
          <w:color w:val="000000"/>
          <w:kern w:val="2"/>
          <w:sz w:val="24"/>
          <w:szCs w:val="24"/>
          <w:lang w:val="en-US" w:eastAsia="zh-CN" w:bidi="ar"/>
        </w:rPr>
        <w:t>58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56</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1"/>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w:t>
      </w:r>
      <w:r>
        <w:rPr>
          <w:rFonts w:hint="eastAsia" w:ascii="宋体" w:hAnsi="宋体" w:cs="宋体"/>
          <w:b/>
          <w:bCs/>
          <w:color w:val="000000"/>
          <w:kern w:val="2"/>
          <w:sz w:val="24"/>
          <w:szCs w:val="24"/>
          <w:lang w:val="en-US" w:eastAsia="zh-CN" w:bidi="ar"/>
        </w:rPr>
        <w:t>等</w:t>
      </w:r>
      <w:r>
        <w:rPr>
          <w:rFonts w:hint="eastAsia" w:ascii="宋体" w:hAnsi="宋体" w:eastAsia="宋体" w:cs="宋体"/>
          <w:b/>
          <w:bCs/>
          <w:color w:val="000000"/>
          <w:kern w:val="2"/>
          <w:sz w:val="24"/>
          <w:szCs w:val="24"/>
          <w:lang w:val="en-US" w:eastAsia="zh-CN" w:bidi="ar"/>
        </w:rPr>
        <w:t>后，投资收益率未达到〖业绩比较基准下限〗。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w:t>
      </w:r>
      <w:r>
        <w:rPr>
          <w:rFonts w:hint="eastAsia" w:ascii="宋体" w:hAnsi="宋体" w:cs="宋体"/>
          <w:color w:val="000000"/>
          <w:kern w:val="2"/>
          <w:sz w:val="24"/>
          <w:szCs w:val="24"/>
          <w:lang w:val="en-US" w:eastAsia="zh-CN" w:bidi="ar"/>
        </w:rPr>
        <w:t>等</w:t>
      </w:r>
      <w:r>
        <w:rPr>
          <w:rFonts w:hint="eastAsia" w:ascii="宋体" w:hAnsi="宋体" w:eastAsia="宋体" w:cs="宋体"/>
          <w:color w:val="000000"/>
          <w:kern w:val="2"/>
          <w:sz w:val="24"/>
          <w:szCs w:val="24"/>
          <w:lang w:val="en-US" w:eastAsia="zh-CN" w:bidi="ar"/>
        </w:rPr>
        <w:t>后，如理财计划未扣除浮动管理费前的净值为1.0362，此时，(1.0362÷1.0000-1)×365÷362=3.65%&lt;4.00%，即投资收益未达到〖4.00%〗，则投资管理人不收取浮动管理费，投资者最终收益为：100,000.00×(1.0365-1.0000）=3,650.00（元）</w:t>
      </w:r>
    </w:p>
    <w:p>
      <w:pPr>
        <w:keepNext w:val="0"/>
        <w:keepLines w:val="0"/>
        <w:widowControl w:val="0"/>
        <w:numPr>
          <w:ilvl w:val="0"/>
          <w:numId w:val="41"/>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示例四</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w:t>
      </w:r>
      <w:r>
        <w:rPr>
          <w:rFonts w:hint="eastAsia" w:ascii="宋体" w:hAnsi="宋体" w:cs="宋体"/>
          <w:b/>
          <w:bCs/>
          <w:color w:val="000000"/>
          <w:kern w:val="2"/>
          <w:sz w:val="24"/>
          <w:szCs w:val="24"/>
          <w:lang w:val="en-US" w:eastAsia="zh-CN" w:bidi="ar"/>
        </w:rPr>
        <w:t>等</w:t>
      </w:r>
      <w:r>
        <w:rPr>
          <w:rFonts w:hint="eastAsia" w:ascii="宋体" w:hAnsi="宋体" w:eastAsia="宋体" w:cs="宋体"/>
          <w:b/>
          <w:bCs/>
          <w:color w:val="000000"/>
          <w:kern w:val="2"/>
          <w:sz w:val="24"/>
          <w:szCs w:val="24"/>
          <w:lang w:val="en-US" w:eastAsia="zh-CN" w:bidi="ar"/>
        </w:rPr>
        <w:t>后，投资发生亏损。</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元，折算份额为100,000.00份，假设份额成立日（含）至估值日（含）的区间天数为362天,业绩比较基准为4.00%-5.00%。假设理财产品到期时扣除托管费、固定管理费、销售服务费（如有）</w:t>
      </w:r>
      <w:r>
        <w:rPr>
          <w:rFonts w:hint="eastAsia" w:ascii="宋体" w:hAnsi="宋体" w:cs="宋体"/>
          <w:color w:val="000000"/>
          <w:kern w:val="2"/>
          <w:sz w:val="24"/>
          <w:szCs w:val="24"/>
          <w:lang w:val="en-US" w:eastAsia="zh-CN" w:bidi="ar"/>
        </w:rPr>
        <w:t>等</w:t>
      </w:r>
      <w:r>
        <w:rPr>
          <w:rFonts w:hint="eastAsia" w:ascii="宋体" w:hAnsi="宋体" w:eastAsia="宋体" w:cs="宋体"/>
          <w:color w:val="000000"/>
          <w:kern w:val="2"/>
          <w:sz w:val="24"/>
          <w:szCs w:val="24"/>
          <w:lang w:val="en-US" w:eastAsia="zh-CN" w:bidi="ar"/>
        </w:rPr>
        <w:t>后，如理财计划未扣除浮动管理费前的净值为0.9975，则投资管理人不收取浮动管理费，投资者最终收益为：100,000.00×（0.9975-1.0000）=-250.00（元）。</w:t>
      </w:r>
    </w:p>
    <w:p>
      <w:pPr>
        <w:numPr>
          <w:ilvl w:val="0"/>
          <w:numId w:val="4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交易规则</w:t>
      </w:r>
    </w:p>
    <w:p>
      <w:pPr>
        <w:numPr>
          <w:ilvl w:val="0"/>
          <w:numId w:val="42"/>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认购</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2"/>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成立</w:t>
      </w:r>
    </w:p>
    <w:p>
      <w:pPr>
        <w:numPr>
          <w:ilvl w:val="0"/>
          <w:numId w:val="4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4"/>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2"/>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申购及赎回</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本理财计划封闭式运作，存续期间不开放申购和赎回。</w:t>
      </w:r>
    </w:p>
    <w:p>
      <w:pPr>
        <w:numPr>
          <w:ilvl w:val="0"/>
          <w:numId w:val="42"/>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到期清算</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cs="宋体"/>
          <w:bCs/>
          <w:color w:val="000000"/>
          <w:sz w:val="24"/>
          <w:highlight w:val="none"/>
        </w:rPr>
      </w:pPr>
      <w:r>
        <w:rPr>
          <w:rFonts w:hint="eastAsia" w:ascii="宋体" w:hAnsi="宋体" w:cs="宋体"/>
          <w:bCs/>
          <w:color w:val="000000"/>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color w:val="000000"/>
          <w:kern w:val="2"/>
          <w:sz w:val="24"/>
          <w:szCs w:val="24"/>
          <w:lang w:val="en-US" w:eastAsia="zh-CN" w:bidi="ar"/>
        </w:rPr>
        <w:t>〖1〗个〖工作日〗</w:t>
      </w:r>
      <w:r>
        <w:rPr>
          <w:rFonts w:hint="eastAsia" w:ascii="宋体" w:hAnsi="宋体" w:cs="宋体"/>
          <w:bCs/>
          <w:color w:val="000000"/>
          <w:sz w:val="24"/>
          <w:highlight w:val="none"/>
        </w:rPr>
        <w:t>、最晚</w:t>
      </w:r>
      <w:r>
        <w:rPr>
          <w:rFonts w:hint="eastAsia" w:ascii="宋体" w:hAnsi="宋体" w:eastAsia="宋体" w:cs="宋体"/>
          <w:color w:val="000000"/>
          <w:kern w:val="2"/>
          <w:sz w:val="24"/>
          <w:szCs w:val="24"/>
          <w:lang w:val="en-US" w:eastAsia="zh-CN" w:bidi="ar"/>
        </w:rPr>
        <w:t>〖3〗个〖工作日〗</w:t>
      </w:r>
      <w:r>
        <w:rPr>
          <w:rFonts w:hint="eastAsia" w:ascii="宋体" w:hAnsi="宋体" w:cs="宋体"/>
          <w:bCs/>
          <w:color w:val="000000"/>
          <w:sz w:val="24"/>
          <w:highlight w:val="none"/>
        </w:rPr>
        <w:t>内（遇节假日顺延）将资金按规定的要求划入投资者授权指定的理财账户。（具体以销售机构规定为准）</w:t>
      </w:r>
    </w:p>
    <w:p>
      <w:pPr>
        <w:keepNext w:val="0"/>
        <w:keepLines w:val="0"/>
        <w:widowControl w:val="0"/>
        <w:suppressLineNumbers w:val="0"/>
        <w:spacing w:before="0" w:beforeAutospacing="0" w:after="0" w:afterAutospacing="0" w:line="360" w:lineRule="auto"/>
        <w:ind w:left="0" w:leftChars="0" w:right="0" w:firstLine="480" w:firstLineChars="200"/>
        <w:jc w:val="both"/>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lang w:eastAsia="zh-CN"/>
        </w:rPr>
        <w:t>理财计划所投资产产生部分延期变现等原因，本理财计划存在到期后需要进行二次或多次清算的可能。如管理人拟进行二次或多次清算的，将向投资者公布具体清算方案。在进行二次或多次清算的过程中，资产变现的资金以现金保存，不再进行投资。</w:t>
      </w:r>
    </w:p>
    <w:p>
      <w:pPr>
        <w:numPr>
          <w:ilvl w:val="0"/>
          <w:numId w:val="42"/>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提前终止</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在理财计划期限内，管理人根据投资情况有提前终止权，于本理财计划提前终止日前</w:t>
      </w:r>
      <w:r>
        <w:rPr>
          <w:rFonts w:hint="eastAsia" w:ascii="宋体" w:hAnsi="宋体" w:cs="宋体"/>
          <w:color w:val="000000"/>
          <w:sz w:val="24"/>
          <w:szCs w:val="24"/>
          <w:highlight w:val="none"/>
        </w:rPr>
        <w:t>〖</w:t>
      </w:r>
      <w:r>
        <w:rPr>
          <w:rFonts w:hint="eastAsia" w:ascii="宋体" w:hAnsi="宋体" w:cs="宋体"/>
          <w:bCs/>
          <w:color w:val="000000"/>
          <w:sz w:val="24"/>
          <w:highlight w:val="none"/>
        </w:rPr>
        <w:t>2〗个〖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〗通过管理人或销售机构发布提前终止公告，并于终止日后</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如发生以下事项时，管理人可对本理财计划行使全部</w:t>
      </w:r>
      <w:r>
        <w:rPr>
          <w:rFonts w:hint="eastAsia" w:ascii="宋体" w:hAnsi="宋体" w:cs="宋体"/>
          <w:b/>
          <w:color w:val="000000"/>
          <w:sz w:val="24"/>
          <w:highlight w:val="none"/>
          <w:lang w:eastAsia="zh-CN"/>
        </w:rPr>
        <w:t>或部分</w:t>
      </w:r>
      <w:r>
        <w:rPr>
          <w:rFonts w:hint="eastAsia" w:ascii="宋体" w:hAnsi="宋体" w:cs="宋体"/>
          <w:b/>
          <w:color w:val="000000"/>
          <w:sz w:val="24"/>
          <w:highlight w:val="none"/>
        </w:rPr>
        <w:t>提前终止权：</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如因本理财计划资产运作模式等与法律法规、规章的规定或者监管部门的要求等存在冲突导致理财计划必须提前终止的。</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国家有关法律、法规、规章、政策的改变、紧急措施的出台、理财市场环境发生重大变化等导致理财计划必须提前终止的。</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因不可抗力因素导致本理财计划必须提前终止的。</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理财计划的投资策略已不适合当前的市场环境的。</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lang w:eastAsia="zh-CN"/>
        </w:rPr>
        <w:t>融资人行使提前到期或还款权利的。</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管理人认为应该提前终止的其他情形。</w:t>
      </w:r>
    </w:p>
    <w:p>
      <w:pPr>
        <w:numPr>
          <w:ilvl w:val="0"/>
          <w:numId w:val="42"/>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延期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46"/>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预计在理财计划预计到期日，理财计划资产因市场风险、信用风险等原因无法全部变现。</w:t>
      </w:r>
    </w:p>
    <w:p>
      <w:pPr>
        <w:numPr>
          <w:ilvl w:val="0"/>
          <w:numId w:val="46"/>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预计理财计划所投资的信托计划、资管计划等的受托人或管理人不能按时向管理人划付理财计划的本金和收益。</w:t>
      </w:r>
    </w:p>
    <w:p>
      <w:pPr>
        <w:numPr>
          <w:ilvl w:val="0"/>
          <w:numId w:val="46"/>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理财计划财产涉及诉讼或仲裁，且预计诉讼或仲裁执行程序于理财计划到期日尚未终结。</w:t>
      </w:r>
    </w:p>
    <w:p>
      <w:pPr>
        <w:numPr>
          <w:ilvl w:val="0"/>
          <w:numId w:val="46"/>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管理人与托管人、销售机构协商一致决定延期。</w:t>
      </w:r>
    </w:p>
    <w:p>
      <w:pPr>
        <w:numPr>
          <w:ilvl w:val="0"/>
          <w:numId w:val="46"/>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法律法规规定的或管理人认为有必要延期的其他情形。</w:t>
      </w:r>
    </w:p>
    <w:p>
      <w:pPr>
        <w:spacing w:line="360" w:lineRule="auto"/>
        <w:jc w:val="left"/>
        <w:rPr>
          <w:rFonts w:ascii="宋体" w:hAnsi="宋体" w:cs="宋体"/>
          <w:b/>
          <w:color w:val="000000"/>
          <w:sz w:val="24"/>
          <w:highlight w:val="none"/>
        </w:rPr>
      </w:pPr>
    </w:p>
    <w:p>
      <w:pPr>
        <w:numPr>
          <w:ilvl w:val="0"/>
          <w:numId w:val="28"/>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信息披露</w:t>
      </w:r>
    </w:p>
    <w:p>
      <w:pPr>
        <w:numPr>
          <w:ilvl w:val="0"/>
          <w:numId w:val="4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披露内容及时间</w:t>
      </w:r>
    </w:p>
    <w:p>
      <w:pPr>
        <w:numPr>
          <w:ilvl w:val="0"/>
          <w:numId w:val="48"/>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认购信息披露</w:t>
      </w:r>
    </w:p>
    <w:p>
      <w:pPr>
        <w:numPr>
          <w:ilvl w:val="0"/>
          <w:numId w:val="4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4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48"/>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运作信息披露</w:t>
      </w:r>
    </w:p>
    <w:p>
      <w:pPr>
        <w:numPr>
          <w:ilvl w:val="0"/>
          <w:numId w:val="5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理财计划净值：管理人应在理财计划成立后，每周披露一次净值。</w:t>
      </w:r>
    </w:p>
    <w:p>
      <w:pPr>
        <w:numPr>
          <w:ilvl w:val="0"/>
          <w:numId w:val="50"/>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定期报告：管理人应当在每季度结束之日起15个工作日内、每年8月31日前、每年4月30日前编制完成理财计划的季度、半年和年度报告等运行报告，披露投资状况、投资表现、风险状况等信息，包括但不限于本理财计划投资的资产种类、投资比例、投资组合的流动性风险分析。如本理财计划成立不足90个工作日的，管理人可不编制当期的季度、半年和年度报告等运行报告。理财计划超过90个自然日的应当在存续期内至少披露一次定期报告。</w:t>
      </w:r>
    </w:p>
    <w:p>
      <w:pPr>
        <w:numPr>
          <w:ilvl w:val="0"/>
          <w:numId w:val="50"/>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48"/>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临时信息披露</w:t>
      </w:r>
    </w:p>
    <w:p>
      <w:pPr>
        <w:numPr>
          <w:ilvl w:val="0"/>
          <w:numId w:val="5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rPr>
        <w:t>应在发生重大诉讼等可能对理财计划投资者或者理财计划收益产生重大事项的事件后2个工作日内发布重大事项公告。</w:t>
      </w:r>
    </w:p>
    <w:p>
      <w:pPr>
        <w:numPr>
          <w:ilvl w:val="0"/>
          <w:numId w:val="51"/>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临时公告：管理人应当及时披露除重大事项以外的其他信息，包括但不限于理财计划终止、更换理财计划管理人和托管人、涉及费率相关事项的变动、理财计划延期兑付等。</w:t>
      </w:r>
    </w:p>
    <w:p>
      <w:pPr>
        <w:numPr>
          <w:ilvl w:val="0"/>
          <w:numId w:val="4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因非管理人、销售机构原因导致的系统故障及其他不可抗力因素影响，致使投资者未及时了解理财计划信息，因此产生的风险由投资者承担；但管理人或者销售机构存在故意或者重大过失的除外。</w:t>
      </w:r>
    </w:p>
    <w:p>
      <w:pPr>
        <w:spacing w:line="360" w:lineRule="auto"/>
        <w:ind w:left="420"/>
        <w:jc w:val="left"/>
        <w:rPr>
          <w:rFonts w:hint="eastAsia" w:ascii="宋体" w:hAnsi="宋体" w:cs="宋体"/>
          <w:b/>
          <w:color w:val="000000"/>
          <w:sz w:val="24"/>
          <w:highlight w:val="none"/>
        </w:rPr>
      </w:pPr>
    </w:p>
    <w:p>
      <w:pPr>
        <w:numPr>
          <w:ilvl w:val="0"/>
          <w:numId w:val="28"/>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其他</w:t>
      </w:r>
    </w:p>
    <w:p>
      <w:pPr>
        <w:numPr>
          <w:ilvl w:val="0"/>
          <w:numId w:val="52"/>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追索条款</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52"/>
        </w:numPr>
        <w:tabs>
          <w:tab w:val="left" w:pos="6090"/>
        </w:tabs>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信息安全</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管理人应就理财计划销售过程中获知的投资者信息、风险承受能力评估结果、适当性匹配情况等承担保密义务。非经投资者事先许可，不得向第三方披露，但法律法规或监管规定另有要求的除外。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52"/>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任何一方均有权向被告住所地有管辖权的人民法院提起诉讼。</w:t>
      </w:r>
    </w:p>
    <w:p>
      <w:pPr>
        <w:numPr>
          <w:ilvl w:val="0"/>
          <w:numId w:val="52"/>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ascii="宋体" w:hAnsi="宋体" w:cs="宋体"/>
          <w:bCs/>
          <w:color w:val="000000"/>
          <w:sz w:val="24"/>
          <w:highlight w:val="none"/>
        </w:rPr>
      </w:pPr>
      <w:r>
        <w:rPr>
          <w:rFonts w:ascii="宋体" w:hAnsi="宋体" w:cs="宋体"/>
          <w:bCs/>
          <w:color w:val="000000"/>
          <w:sz w:val="2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202602</w:t>
      </w:r>
      <w:r>
        <w:rPr>
          <w:rFonts w:hint="eastAsia" w:ascii="宋体" w:hAnsi="宋体" w:cs="宋体"/>
          <w:color w:val="000000"/>
          <w:sz w:val="28"/>
          <w:szCs w:val="28"/>
          <w:highlight w:val="none"/>
        </w:rPr>
        <w:t>版）</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理财非存款、产品有风险、投资须谨慎</w:t>
      </w:r>
    </w:p>
    <w:p>
      <w:p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尊敬的投资者：</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53"/>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理财计划办理流程</w:t>
      </w:r>
    </w:p>
    <w:p>
      <w:pPr>
        <w:numPr>
          <w:ilvl w:val="0"/>
          <w:numId w:val="54"/>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54"/>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杭银理财理财计划的普通投资者须接受并完成销售机构对您的风险承受能力评估，并确认风险承受能力等级不低于本理财计划风险评级。如销售机构对于专业投资者的风险承受能力评估有要求的，则参照销售机构相关评估标准或代理销售协议书执行。</w:t>
      </w:r>
    </w:p>
    <w:p>
      <w:pPr>
        <w:numPr>
          <w:ilvl w:val="0"/>
          <w:numId w:val="54"/>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投资者应仔细阅读本理财计划完整合同（包括但不限于</w:t>
      </w:r>
      <w:r>
        <w:rPr>
          <w:rFonts w:hint="eastAsia" w:ascii="宋体" w:hAnsi="宋体" w:cs="宋体"/>
          <w:color w:val="000000"/>
          <w:kern w:val="0"/>
          <w:sz w:val="24"/>
          <w:highlight w:val="none"/>
          <w:lang w:eastAsia="zh-CN"/>
        </w:rPr>
        <w:t>理财计划</w:t>
      </w:r>
      <w:r>
        <w:rPr>
          <w:rFonts w:hint="eastAsia" w:ascii="宋体" w:hAnsi="宋体" w:cs="宋体"/>
          <w:color w:val="000000"/>
          <w:kern w:val="0"/>
          <w:sz w:val="24"/>
          <w:highlight w:val="none"/>
        </w:rPr>
        <w:t>风险揭示书、理财计划产品说明书、投资者权益须知</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理财计划投资协议书</w:t>
      </w:r>
      <w:r>
        <w:rPr>
          <w:rFonts w:hint="eastAsia" w:ascii="宋体" w:hAnsi="宋体" w:cs="宋体"/>
          <w:color w:val="000000"/>
          <w:kern w:val="0"/>
          <w:sz w:val="24"/>
          <w:highlight w:val="none"/>
          <w:lang w:eastAsia="zh-CN"/>
        </w:rPr>
        <w:t>和理财计划（</w:t>
      </w:r>
      <w:r>
        <w:rPr>
          <w:rFonts w:hint="eastAsia" w:ascii="宋体" w:hAnsi="宋体" w:cs="宋体"/>
          <w:color w:val="000000"/>
          <w:kern w:val="0"/>
          <w:sz w:val="24"/>
          <w:highlight w:val="none"/>
          <w:lang w:val="en-US" w:eastAsia="zh-CN"/>
        </w:rPr>
        <w:t>代理销售</w:t>
      </w:r>
      <w:r>
        <w:rPr>
          <w:rFonts w:hint="eastAsia" w:ascii="宋体" w:hAnsi="宋体" w:cs="宋体"/>
          <w:color w:val="000000"/>
          <w:kern w:val="0"/>
          <w:sz w:val="24"/>
          <w:highlight w:val="none"/>
          <w:lang w:eastAsia="zh-CN"/>
        </w:rPr>
        <w:t>）销售协议书</w:t>
      </w:r>
      <w:r>
        <w:rPr>
          <w:rFonts w:hint="eastAsia" w:ascii="宋体" w:hAnsi="宋体" w:cs="宋体"/>
          <w:color w:val="000000"/>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54"/>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54"/>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如在银行营业场所购买杭银理财理财计划，销售机构需对每笔理财计划销售过程同步录音录像。</w:t>
      </w:r>
      <w:r>
        <w:rPr>
          <w:rFonts w:hint="eastAsia" w:ascii="宋体" w:hAnsi="宋体" w:cs="宋体"/>
          <w:color w:val="000000"/>
          <w:kern w:val="0"/>
          <w:sz w:val="24"/>
          <w:highlight w:val="none"/>
          <w:lang w:val="en-US" w:eastAsia="zh-CN"/>
        </w:rPr>
        <w:t>在没有销售人员推介的情况下，投资者通过自助终端等电子设备进行自主购买的情况除外。</w:t>
      </w:r>
    </w:p>
    <w:p>
      <w:pPr>
        <w:numPr>
          <w:ilvl w:val="0"/>
          <w:numId w:val="54"/>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投资者确定交易金额，完成交易申请，并在确认份额后进行查询。</w:t>
      </w:r>
    </w:p>
    <w:p>
      <w:pPr>
        <w:numPr>
          <w:ilvl w:val="0"/>
          <w:numId w:val="55"/>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杭银理财产品风险评级</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专业投资者及谨慎型、稳健型、平衡型、进取型、激进型的普通投资者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专业投资者及激进型的普通投资者</w:t>
            </w:r>
          </w:p>
        </w:tc>
      </w:tr>
    </w:tbl>
    <w:p>
      <w:pPr>
        <w:pStyle w:val="17"/>
        <w:adjustRightInd/>
        <w:spacing w:line="360" w:lineRule="auto"/>
        <w:ind w:firstLine="480" w:firstLineChars="200"/>
        <w:rPr>
          <w:rFonts w:hint="default" w:ascii="宋体" w:hAnsi="宋体" w:eastAsia="宋体" w:cs="宋体"/>
          <w:b/>
          <w:color w:val="000000"/>
          <w:kern w:val="0"/>
          <w:sz w:val="24"/>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numPr>
          <w:ilvl w:val="0"/>
          <w:numId w:val="56"/>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投资者风险承受能力评估</w:t>
      </w:r>
    </w:p>
    <w:p>
      <w:pPr>
        <w:numPr>
          <w:ilvl w:val="0"/>
          <w:numId w:val="57"/>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销售工作及投资者适当性评估由销售机构负责。普通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7"/>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普通投资者风险承受能力评估结果有效期为一年，如风险承受能力评估时效已超过一年，或影响风险承受能力的因素发生变化，请及时完成风险承受能力的重新评估。</w:t>
      </w:r>
    </w:p>
    <w:p>
      <w:pPr>
        <w:numPr>
          <w:ilvl w:val="0"/>
          <w:numId w:val="57"/>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普通投资者风险承受能力评估流程（详询销售机构工作人员）</w:t>
      </w:r>
    </w:p>
    <w:p>
      <w:pPr>
        <w:numPr>
          <w:ilvl w:val="0"/>
          <w:numId w:val="58"/>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普通投资者在销售机构进行风险承受能力评估；</w:t>
      </w:r>
    </w:p>
    <w:p>
      <w:pPr>
        <w:numPr>
          <w:ilvl w:val="0"/>
          <w:numId w:val="58"/>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填写销售机构普通投资者风险承受能力测试问卷；</w:t>
      </w:r>
    </w:p>
    <w:p>
      <w:pPr>
        <w:numPr>
          <w:ilvl w:val="0"/>
          <w:numId w:val="58"/>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生成相应的普通投资者风险承受能力评估结果；</w:t>
      </w:r>
    </w:p>
    <w:p>
      <w:pPr>
        <w:numPr>
          <w:ilvl w:val="0"/>
          <w:numId w:val="58"/>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投资者对评估结果进行确认。</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风险承受能力评估结果将作为评价普通投资者是否适合购买理财计划的重要因素，风险承受能力评级越高适合购买的理财计划风险评级越高，适合购买的理财计划类型越丰富。</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普通投资者的风险承受能力等级不低于本理财计划最终披露的风险评级。如本理财计划通过代理销售机构渠道销售的，理财产品评级应当以代理销售机构最终披露的评级结果为准。</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购买理财计划前可简化或无须进行风险评估能力测试。专业投资者不适用普通投资者的风险承受能力评估，请专业投资者根据自身财务状况、投资风格、资金需求等要素，并在阅读本权益须知、理财计划风险揭示书、理财计划产品说明书、理财计划投资协议书和理财计划销售协议书的基础上，充分认识投资本理财计划需要承担的风险。如销售机构对于专业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四、理财计划信息披露</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您知晓并同意通知送达，请您及时查询。</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五、投资者信息管理</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销售机构应当根据反洗钱、反恐怖融资及非居民金融账户涉税信息尽职调查等相关法律法规要求识别客户身份。投资者通过公司认可的销售机构购买本公司理财的，知晓并同意公司获取投资者相关理财业务资料及信息。</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六、投诉与建议</w:t>
      </w:r>
    </w:p>
    <w:p>
      <w:pPr>
        <w:numPr>
          <w:ilvl w:val="0"/>
          <w:numId w:val="60"/>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投资者如认为理财</w:t>
      </w:r>
      <w:r>
        <w:rPr>
          <w:rFonts w:hint="eastAsia" w:ascii="宋体" w:hAnsi="宋体" w:cs="宋体"/>
          <w:color w:val="000000"/>
          <w:kern w:val="0"/>
          <w:sz w:val="24"/>
          <w:highlight w:val="none"/>
          <w:lang w:val="en-US" w:eastAsia="zh-CN"/>
        </w:rPr>
        <w:t>计划</w:t>
      </w:r>
      <w:r>
        <w:rPr>
          <w:rFonts w:hint="eastAsia" w:ascii="宋体" w:hAnsi="宋体" w:cs="宋体"/>
          <w:color w:val="000000"/>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color w:val="000000"/>
          <w:kern w:val="0"/>
          <w:sz w:val="24"/>
          <w:highlight w:val="none"/>
          <w:lang w:val="en-US" w:eastAsia="zh-CN"/>
        </w:rPr>
        <w:t>或管理人</w:t>
      </w:r>
      <w:r>
        <w:rPr>
          <w:rFonts w:hint="eastAsia" w:ascii="宋体" w:hAnsi="宋体" w:cs="宋体"/>
          <w:color w:val="000000"/>
          <w:kern w:val="0"/>
          <w:sz w:val="24"/>
          <w:highlight w:val="none"/>
        </w:rPr>
        <w:t>热线或客服电话进行反馈</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将由专人接听、记录您的意见建议，并由双方协商共同解决。</w:t>
      </w:r>
    </w:p>
    <w:p>
      <w:pPr>
        <w:numPr>
          <w:ilvl w:val="0"/>
          <w:numId w:val="60"/>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联络方式</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杭银理财联络方式：</w:t>
      </w:r>
    </w:p>
    <w:p>
      <w:pPr>
        <w:numPr>
          <w:ilvl w:val="0"/>
          <w:numId w:val="61"/>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bCs/>
          <w:color w:val="000000"/>
          <w:kern w:val="2"/>
          <w:highlight w:val="none"/>
          <w:u w:val="none"/>
          <w:lang w:val="en-US" w:eastAsia="zh-CN"/>
        </w:rPr>
        <w:t>https://</w:t>
      </w:r>
      <w:r>
        <w:rPr>
          <w:rStyle w:val="11"/>
          <w:rFonts w:hint="eastAsia" w:ascii="宋体" w:hAnsi="宋体" w:cs="宋体"/>
          <w:color w:val="000000"/>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u w:val="none"/>
          <w:lang w:val="en-US" w:eastAsia="zh-CN"/>
        </w:rPr>
        <w:t>公司地址：</w:t>
      </w:r>
      <w:r>
        <w:rPr>
          <w:rFonts w:hint="eastAsia" w:ascii="宋体" w:hAnsi="宋体" w:cs="宋体"/>
          <w:color w:val="000000"/>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color w:val="000000"/>
          <w:kern w:val="0"/>
          <w:sz w:val="24"/>
          <w:highlight w:val="none"/>
          <w:lang w:val="en-US" w:eastAsia="zh-CN"/>
        </w:rPr>
      </w:pPr>
      <w:r>
        <w:rPr>
          <w:rFonts w:hint="eastAsia" w:ascii="宋体" w:hAnsi="宋体" w:cs="宋体"/>
          <w:color w:val="000000"/>
          <w:kern w:val="0"/>
          <w:sz w:val="24"/>
          <w:highlight w:val="none"/>
          <w:lang w:eastAsia="zh-CN"/>
        </w:rPr>
        <w:t>若</w:t>
      </w:r>
      <w:r>
        <w:rPr>
          <w:rFonts w:hint="eastAsia" w:ascii="宋体" w:hAnsi="宋体" w:cs="宋体"/>
          <w:color w:val="000000"/>
          <w:kern w:val="0"/>
          <w:sz w:val="24"/>
          <w:highlight w:val="none"/>
        </w:rPr>
        <w:t>上述联系方式变更，杭银理财将提前通过</w:t>
      </w: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rPr>
        <w:t>及时告知投资者。</w:t>
      </w:r>
    </w:p>
    <w:p>
      <w:pPr>
        <w:numPr>
          <w:ilvl w:val="0"/>
          <w:numId w:val="61"/>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杭州银行</w:t>
      </w:r>
      <w:r>
        <w:rPr>
          <w:rFonts w:hint="eastAsia" w:ascii="宋体" w:hAnsi="宋体" w:cs="宋体"/>
          <w:color w:val="000000"/>
          <w:kern w:val="0"/>
          <w:sz w:val="24"/>
          <w:highlight w:val="none"/>
        </w:rPr>
        <w:t>（作为销售机构）</w:t>
      </w:r>
      <w:r>
        <w:rPr>
          <w:rFonts w:hint="eastAsia" w:ascii="宋体" w:hAnsi="宋体" w:cs="宋体"/>
          <w:color w:val="000000"/>
          <w:kern w:val="0"/>
          <w:sz w:val="24"/>
          <w:highlight w:val="none"/>
          <w:lang w:eastAsia="zh-CN"/>
        </w:rPr>
        <w:t>联络方式：</w:t>
      </w:r>
    </w:p>
    <w:p>
      <w:p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lang w:val="en-US" w:eastAsia="zh-CN"/>
        </w:rPr>
        <w:t xml:space="preserve">: </w:t>
      </w:r>
      <w:r>
        <w:fldChar w:fldCharType="begin"/>
      </w:r>
      <w:r>
        <w:instrText xml:space="preserve"> HYPERLINK "http://www.hzbankwealth.cn" </w:instrText>
      </w:r>
      <w:r>
        <w:fldChar w:fldCharType="separate"/>
      </w:r>
      <w:r>
        <w:rPr>
          <w:rStyle w:val="11"/>
          <w:rFonts w:hint="eastAsia" w:ascii="宋体" w:hAnsi="宋体" w:cs="宋体"/>
          <w:color w:val="000000"/>
          <w:kern w:val="0"/>
          <w:sz w:val="24"/>
          <w:highlight w:val="none"/>
          <w:u w:val="none"/>
          <w:lang w:val="en-US" w:eastAsia="zh-CN"/>
        </w:rPr>
        <w:t>www.hzbank.com.cn</w:t>
      </w:r>
      <w:r>
        <w:rPr>
          <w:rStyle w:val="11"/>
          <w:rFonts w:hint="eastAsia" w:ascii="宋体" w:hAnsi="宋体" w:cs="宋体"/>
          <w:color w:val="000000"/>
          <w:kern w:val="0"/>
          <w:sz w:val="24"/>
          <w:highlight w:val="none"/>
          <w:u w:val="none"/>
          <w:lang w:val="en-US" w:eastAsia="zh-CN"/>
        </w:rPr>
        <w:fldChar w:fldCharType="end"/>
      </w:r>
    </w:p>
    <w:p>
      <w:pPr>
        <w:spacing w:line="360" w:lineRule="auto"/>
        <w:ind w:firstLine="480" w:firstLineChars="200"/>
        <w:rPr>
          <w:rFonts w:hint="default" w:ascii="宋体" w:hAnsi="宋体" w:eastAsia="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客户服务热线：95398、</w:t>
      </w:r>
      <w:r>
        <w:rPr>
          <w:rFonts w:hint="eastAsia" w:ascii="宋体" w:hAnsi="宋体" w:cs="宋体"/>
          <w:color w:val="000000"/>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color w:val="000000"/>
          <w:kern w:val="0"/>
          <w:sz w:val="24"/>
          <w:highlight w:val="none"/>
          <w:lang w:eastAsia="zh-CN"/>
        </w:rPr>
        <w:t>在</w:t>
      </w:r>
      <w:r>
        <w:rPr>
          <w:rFonts w:hint="eastAsia" w:ascii="宋体" w:hAnsi="宋体" w:cs="宋体"/>
          <w:color w:val="000000"/>
          <w:kern w:val="0"/>
          <w:sz w:val="24"/>
          <w:highlight w:val="none"/>
        </w:rPr>
        <w:t>其他销售机构购买理财计划的，请联系其他销售机构，联系方式以其披露为准。</w:t>
      </w:r>
    </w:p>
    <w:p>
      <w:pPr>
        <w:rPr>
          <w:rFonts w:ascii="宋体" w:hAnsi="宋体" w:cs="宋体"/>
          <w:bCs/>
          <w:color w:val="000000"/>
          <w:sz w:val="24"/>
          <w:highlight w:val="none"/>
        </w:rPr>
      </w:pPr>
      <w:r>
        <w:rPr>
          <w:rFonts w:ascii="宋体" w:hAnsi="宋体" w:cs="宋体"/>
          <w:bCs/>
          <w:color w:val="000000"/>
          <w:sz w:val="24"/>
          <w:highlight w:val="none"/>
        </w:rPr>
        <w:br w:type="page"/>
      </w:r>
    </w:p>
    <w:p>
      <w:pPr>
        <w:jc w:val="center"/>
        <w:outlineLvl w:val="9"/>
        <w:rPr>
          <w:rFonts w:hint="eastAsia"/>
          <w:b/>
          <w:color w:val="000000"/>
          <w:sz w:val="44"/>
          <w:szCs w:val="44"/>
          <w:highlight w:val="none"/>
        </w:rPr>
      </w:pPr>
      <w:r>
        <w:rPr>
          <w:rFonts w:hint="eastAsia"/>
          <w:b/>
          <w:color w:val="000000"/>
          <w:sz w:val="44"/>
          <w:szCs w:val="44"/>
          <w:highlight w:val="none"/>
        </w:rPr>
        <w:t>杭银理财理财计划投资协议书</w:t>
      </w:r>
    </w:p>
    <w:p>
      <w:pPr>
        <w:jc w:val="center"/>
        <w:rPr>
          <w:rFonts w:hint="eastAsia"/>
          <w:b/>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202602</w:t>
      </w:r>
      <w:r>
        <w:rPr>
          <w:rFonts w:hint="eastAsia" w:ascii="宋体" w:hAnsi="宋体" w:cs="宋体"/>
          <w:color w:val="000000"/>
          <w:sz w:val="28"/>
          <w:szCs w:val="28"/>
          <w:highlight w:val="none"/>
        </w:rPr>
        <w:t>版）</w:t>
      </w:r>
    </w:p>
    <w:p>
      <w:pPr>
        <w:spacing w:line="360" w:lineRule="auto"/>
        <w:jc w:val="center"/>
        <w:rPr>
          <w:rFonts w:hint="eastAsia"/>
          <w:b/>
          <w:color w:val="000000"/>
          <w:sz w:val="32"/>
          <w:szCs w:val="32"/>
          <w:highlight w:val="none"/>
        </w:rPr>
      </w:pPr>
      <w:r>
        <w:rPr>
          <w:rFonts w:hint="eastAsia" w:ascii="宋体" w:hAnsi="宋体" w:cs="宋体"/>
          <w:b/>
          <w:bCs/>
          <w:color w:val="000000"/>
          <w:sz w:val="24"/>
          <w:highlight w:val="none"/>
          <w:u w:val="single"/>
        </w:rPr>
        <w:t>理财非存款、产品有风险、投资须谨慎</w:t>
      </w:r>
    </w:p>
    <w:p>
      <w:pPr>
        <w:spacing w:line="360" w:lineRule="auto"/>
        <w:ind w:firstLine="482" w:firstLineChars="200"/>
        <w:rPr>
          <w:rFonts w:hint="eastAsia"/>
          <w:b/>
          <w:bCs/>
          <w:color w:val="000000"/>
          <w:sz w:val="24"/>
          <w:highlight w:val="none"/>
        </w:rPr>
      </w:pPr>
      <w:r>
        <w:rPr>
          <w:rFonts w:hint="eastAsia"/>
          <w:b/>
          <w:bCs/>
          <w:color w:val="000000"/>
          <w:sz w:val="24"/>
          <w:highlight w:val="none"/>
        </w:rPr>
        <w:t>特别提示：杭银理财理财计划投资协议书与</w:t>
      </w:r>
      <w:r>
        <w:rPr>
          <w:rFonts w:hint="eastAsia"/>
          <w:b/>
          <w:bCs/>
          <w:color w:val="000000"/>
          <w:sz w:val="24"/>
          <w:highlight w:val="none"/>
          <w:lang w:eastAsia="zh-CN"/>
        </w:rPr>
        <w:t>理财计划风险揭示书、理财计划产品说明书、</w:t>
      </w:r>
      <w:r>
        <w:rPr>
          <w:rFonts w:hint="eastAsia"/>
          <w:b/>
          <w:bCs/>
          <w:color w:val="000000"/>
          <w:sz w:val="24"/>
          <w:highlight w:val="none"/>
        </w:rPr>
        <w:t>投资者权益须知</w:t>
      </w:r>
      <w:r>
        <w:rPr>
          <w:rFonts w:hint="eastAsia"/>
          <w:b/>
          <w:bCs/>
          <w:color w:val="000000"/>
          <w:sz w:val="24"/>
          <w:highlight w:val="none"/>
          <w:lang w:eastAsia="zh-CN"/>
        </w:rPr>
        <w:t>及理财计划销售协议书</w:t>
      </w:r>
      <w:r>
        <w:rPr>
          <w:rFonts w:hint="eastAsia"/>
          <w:b/>
          <w:bCs/>
          <w:color w:val="000000"/>
          <w:sz w:val="24"/>
          <w:highlight w:val="none"/>
        </w:rPr>
        <w:t>共同构成完整且不可分割的理财计划合同。杭银理财有限责任公司（以下简称“杭银理财”）建议投资者在购买理财计划前认真阅读理财计划合同，投资者签署协议书（含电子渠道签署）即知晓并同意已详细阅读理财计划合同并知悉相关风险，自愿投资购买理财计划、遵守合同约定并承担相应风险。</w:t>
      </w:r>
    </w:p>
    <w:p>
      <w:pPr>
        <w:spacing w:line="360" w:lineRule="auto"/>
        <w:ind w:firstLine="480" w:firstLineChars="200"/>
        <w:rPr>
          <w:rFonts w:hint="eastAsia"/>
          <w:color w:val="000000"/>
          <w:sz w:val="24"/>
          <w:highlight w:val="none"/>
        </w:rPr>
      </w:pPr>
      <w:r>
        <w:rPr>
          <w:rFonts w:hint="eastAsia"/>
          <w:color w:val="000000"/>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color w:val="000000"/>
          <w:sz w:val="24"/>
          <w:highlight w:val="none"/>
        </w:rPr>
      </w:pPr>
    </w:p>
    <w:p>
      <w:pPr>
        <w:numPr>
          <w:ilvl w:val="0"/>
          <w:numId w:val="62"/>
        </w:numPr>
        <w:spacing w:line="360" w:lineRule="auto"/>
        <w:ind w:firstLine="482" w:firstLineChars="200"/>
        <w:outlineLvl w:val="9"/>
        <w:rPr>
          <w:rFonts w:hint="eastAsia" w:ascii="宋体" w:hAnsi="宋体"/>
          <w:b/>
          <w:bCs/>
          <w:color w:val="000000"/>
          <w:sz w:val="24"/>
          <w:highlight w:val="none"/>
        </w:rPr>
      </w:pPr>
      <w:r>
        <w:rPr>
          <w:rFonts w:hint="eastAsia"/>
          <w:b/>
          <w:bCs/>
          <w:color w:val="000000"/>
          <w:sz w:val="24"/>
          <w:highlight w:val="none"/>
        </w:rPr>
        <w:t>名词释义</w:t>
      </w:r>
    </w:p>
    <w:p>
      <w:pPr>
        <w:spacing w:line="360" w:lineRule="auto"/>
        <w:ind w:firstLine="480" w:firstLineChars="200"/>
        <w:rPr>
          <w:rFonts w:hint="eastAsia"/>
          <w:bCs/>
          <w:color w:val="000000"/>
          <w:sz w:val="24"/>
          <w:highlight w:val="none"/>
        </w:rPr>
      </w:pPr>
      <w:r>
        <w:rPr>
          <w:rFonts w:hint="eastAsia"/>
          <w:bCs/>
          <w:color w:val="000000"/>
          <w:sz w:val="24"/>
          <w:highlight w:val="none"/>
        </w:rPr>
        <w:t>详见理财计划说明书“释义”部分。</w:t>
      </w:r>
    </w:p>
    <w:p>
      <w:pPr>
        <w:spacing w:line="360" w:lineRule="auto"/>
        <w:ind w:firstLine="480" w:firstLineChars="200"/>
        <w:rPr>
          <w:rFonts w:hint="eastAsia"/>
          <w:bCs/>
          <w:color w:val="000000"/>
          <w:sz w:val="24"/>
          <w:highlight w:val="none"/>
        </w:rPr>
      </w:pPr>
    </w:p>
    <w:p>
      <w:pPr>
        <w:numPr>
          <w:ilvl w:val="0"/>
          <w:numId w:val="62"/>
        </w:numPr>
        <w:spacing w:line="360" w:lineRule="auto"/>
        <w:ind w:firstLine="482" w:firstLineChars="200"/>
        <w:outlineLvl w:val="9"/>
        <w:rPr>
          <w:rFonts w:hint="eastAsia"/>
          <w:b/>
          <w:color w:val="000000"/>
          <w:sz w:val="24"/>
          <w:highlight w:val="none"/>
        </w:rPr>
      </w:pPr>
      <w:r>
        <w:rPr>
          <w:rFonts w:hint="eastAsia"/>
          <w:b/>
          <w:color w:val="000000"/>
          <w:sz w:val="24"/>
          <w:highlight w:val="none"/>
        </w:rPr>
        <w:t>投资者权利与义务</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投资者保证自身完全了解理财投资的性质，投资所涉及的风险以及自身风险承受能力，在慎重考虑后独立作出交易决定。</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投资者保证其有权利签署本协议和履行本协议所述的义务，并已为此采取一切所需的行为。</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本协议终止前，投资者不得将授权指定账户销户。若发生因投资者注销授权指定账户造成理财计划无法正常兑付的，管理人不承担任何责任。</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投资者进行投资时，应严格遵守反洗钱相关法规的规定，切实履行反洗钱及反恐怖融资义务。 </w:t>
      </w:r>
    </w:p>
    <w:p>
      <w:pPr>
        <w:spacing w:line="360" w:lineRule="auto"/>
        <w:ind w:left="482"/>
        <w:rPr>
          <w:b/>
          <w:color w:val="000000"/>
          <w:sz w:val="24"/>
          <w:highlight w:val="none"/>
        </w:rPr>
      </w:pPr>
    </w:p>
    <w:p>
      <w:pPr>
        <w:numPr>
          <w:ilvl w:val="0"/>
          <w:numId w:val="62"/>
        </w:numPr>
        <w:spacing w:line="360" w:lineRule="auto"/>
        <w:ind w:firstLine="482" w:firstLineChars="200"/>
        <w:outlineLvl w:val="9"/>
        <w:rPr>
          <w:rFonts w:hint="eastAsia"/>
          <w:b/>
          <w:color w:val="000000"/>
          <w:sz w:val="24"/>
          <w:highlight w:val="none"/>
        </w:rPr>
      </w:pPr>
      <w:r>
        <w:rPr>
          <w:rFonts w:hint="eastAsia"/>
          <w:b/>
          <w:color w:val="000000"/>
          <w:sz w:val="24"/>
          <w:highlight w:val="none"/>
        </w:rPr>
        <w:t>管理人权利与义务</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管理人应当诚实守信、勤勉尽责地履行受人之托、代人理财职责。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管理人应当按照理财计划销售文件的约定收取管理费用、确定收益分配方案、向投资者分配收益。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管理人应当按照理财计划销售文件的约定履行风险揭示及信息披露义务。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管理人应当确保理财业务与其他业务相分离，理财计划之间相分离，理财业务操作与其他业务操作相分离。 </w:t>
      </w:r>
    </w:p>
    <w:p>
      <w:pPr>
        <w:widowControl/>
        <w:numPr>
          <w:ilvl w:val="0"/>
          <w:numId w:val="64"/>
        </w:numPr>
        <w:spacing w:line="360" w:lineRule="auto"/>
        <w:contextualSpacing/>
        <w:outlineLvl w:val="9"/>
        <w:rPr>
          <w:rFonts w:ascii="宋体" w:hAnsi="宋体"/>
          <w:color w:val="000000"/>
          <w:sz w:val="24"/>
          <w:highlight w:val="none"/>
        </w:rPr>
      </w:pPr>
      <w:r>
        <w:rPr>
          <w:rFonts w:ascii="宋体" w:hAnsi="宋体"/>
          <w:color w:val="000000"/>
          <w:sz w:val="24"/>
          <w:highlight w:val="none"/>
        </w:rPr>
        <w:t>管理人不得将理财</w:t>
      </w:r>
      <w:r>
        <w:rPr>
          <w:rFonts w:hint="eastAsia" w:ascii="宋体" w:hAnsi="宋体"/>
          <w:color w:val="000000"/>
          <w:sz w:val="24"/>
          <w:highlight w:val="none"/>
        </w:rPr>
        <w:t>计划</w:t>
      </w:r>
      <w:r>
        <w:rPr>
          <w:rFonts w:ascii="宋体" w:hAnsi="宋体"/>
          <w:color w:val="000000"/>
          <w:sz w:val="24"/>
          <w:highlight w:val="none"/>
        </w:rPr>
        <w:t>财产归入其自有资产</w:t>
      </w:r>
      <w:r>
        <w:rPr>
          <w:rFonts w:hint="eastAsia" w:ascii="宋体" w:hAnsi="宋体"/>
          <w:color w:val="000000"/>
          <w:sz w:val="24"/>
          <w:highlight w:val="none"/>
        </w:rPr>
        <w:t>，</w:t>
      </w:r>
      <w:r>
        <w:rPr>
          <w:rFonts w:ascii="宋体" w:hAnsi="宋体"/>
          <w:color w:val="000000"/>
          <w:sz w:val="24"/>
          <w:highlight w:val="none"/>
        </w:rPr>
        <w:t>因依法解散</w:t>
      </w:r>
      <w:r>
        <w:rPr>
          <w:rFonts w:hint="eastAsia" w:ascii="宋体" w:hAnsi="宋体"/>
          <w:color w:val="000000"/>
          <w:sz w:val="24"/>
          <w:highlight w:val="none"/>
        </w:rPr>
        <w:t>、</w:t>
      </w:r>
      <w:r>
        <w:rPr>
          <w:rFonts w:ascii="宋体" w:hAnsi="宋体"/>
          <w:color w:val="000000"/>
          <w:sz w:val="24"/>
          <w:highlight w:val="none"/>
        </w:rPr>
        <w:t>被依法撤销或者被依法宣告破产等原因进行清算的</w:t>
      </w:r>
      <w:r>
        <w:rPr>
          <w:rFonts w:hint="eastAsia" w:ascii="宋体" w:hAnsi="宋体"/>
          <w:color w:val="000000"/>
          <w:sz w:val="24"/>
          <w:highlight w:val="none"/>
        </w:rPr>
        <w:t>，</w:t>
      </w:r>
      <w:r>
        <w:rPr>
          <w:rFonts w:ascii="宋体" w:hAnsi="宋体"/>
          <w:color w:val="000000"/>
          <w:sz w:val="24"/>
          <w:highlight w:val="none"/>
        </w:rPr>
        <w:t>理财</w:t>
      </w:r>
      <w:r>
        <w:rPr>
          <w:rFonts w:hint="eastAsia" w:ascii="宋体" w:hAnsi="宋体"/>
          <w:color w:val="000000"/>
          <w:sz w:val="24"/>
          <w:highlight w:val="none"/>
        </w:rPr>
        <w:t>计划</w:t>
      </w:r>
      <w:r>
        <w:rPr>
          <w:rFonts w:ascii="宋体" w:hAnsi="宋体"/>
          <w:color w:val="000000"/>
          <w:sz w:val="24"/>
          <w:highlight w:val="none"/>
        </w:rPr>
        <w:t>财产不属于其清算财产</w:t>
      </w:r>
      <w:r>
        <w:rPr>
          <w:rFonts w:hint="eastAsia" w:ascii="宋体" w:hAnsi="宋体"/>
          <w:color w:val="000000"/>
          <w:sz w:val="24"/>
          <w:highlight w:val="none"/>
        </w:rPr>
        <w:t>。</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管理人应就理财计划销售过程中获知的投资者信息、风险承受能力评估结果、适当性匹配情况等承担保密义务。</w:t>
      </w:r>
      <w:r>
        <w:rPr>
          <w:rFonts w:hint="eastAsia" w:ascii="宋体" w:hAnsi="宋体" w:cs="宋体"/>
          <w:bCs/>
          <w:color w:val="000000"/>
          <w:sz w:val="24"/>
          <w:highlight w:val="none"/>
        </w:rPr>
        <w:t>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管理人在此特别披露：若理财计划管理人的关联方担任理财计划的代销机构、托管人、合作机构的，理财计划管理人将按照法律法规和监管要求履行相应程序，投资者认购或申购理财计划即知晓并同意该等安排。 </w:t>
      </w:r>
    </w:p>
    <w:p>
      <w:pPr>
        <w:spacing w:line="360" w:lineRule="auto"/>
        <w:rPr>
          <w:b/>
          <w:color w:val="000000"/>
          <w:sz w:val="24"/>
          <w:highlight w:val="none"/>
        </w:rPr>
      </w:pPr>
    </w:p>
    <w:p>
      <w:pPr>
        <w:numPr>
          <w:ilvl w:val="0"/>
          <w:numId w:val="62"/>
        </w:numPr>
        <w:spacing w:line="360" w:lineRule="auto"/>
        <w:ind w:firstLine="482" w:firstLineChars="200"/>
        <w:outlineLvl w:val="9"/>
        <w:rPr>
          <w:rFonts w:hint="eastAsia"/>
          <w:b/>
          <w:color w:val="000000"/>
          <w:sz w:val="24"/>
          <w:highlight w:val="none"/>
        </w:rPr>
      </w:pPr>
      <w:r>
        <w:rPr>
          <w:rFonts w:hint="eastAsia"/>
          <w:b/>
          <w:color w:val="000000"/>
          <w:sz w:val="24"/>
          <w:highlight w:val="none"/>
        </w:rPr>
        <w:t>理财计划认（申）购、赎回及终止</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理财计划认/申购办理流程：参照《投资者权益须知》约定。 </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 xml:space="preserve">理财计划投资品种、投资起点金额、收益支付方式：参照对应期次的《理财计划产品说明书》中的条款约定。 </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color w:val="000000"/>
          <w:sz w:val="24"/>
          <w:highlight w:val="none"/>
        </w:rPr>
      </w:pPr>
    </w:p>
    <w:p>
      <w:pPr>
        <w:numPr>
          <w:ilvl w:val="0"/>
          <w:numId w:val="62"/>
        </w:numPr>
        <w:spacing w:line="360" w:lineRule="auto"/>
        <w:ind w:firstLine="482" w:firstLineChars="200"/>
        <w:outlineLvl w:val="9"/>
        <w:rPr>
          <w:rFonts w:hint="eastAsia"/>
          <w:b/>
          <w:color w:val="000000"/>
          <w:sz w:val="24"/>
          <w:highlight w:val="none"/>
        </w:rPr>
      </w:pPr>
      <w:r>
        <w:rPr>
          <w:rFonts w:hint="eastAsia"/>
          <w:b/>
          <w:color w:val="000000"/>
          <w:sz w:val="24"/>
          <w:highlight w:val="none"/>
        </w:rPr>
        <w:t>税收处理</w:t>
      </w:r>
    </w:p>
    <w:p>
      <w:pPr>
        <w:widowControl/>
        <w:spacing w:line="360" w:lineRule="auto"/>
        <w:ind w:firstLine="480" w:firstLineChars="200"/>
        <w:contextualSpacing/>
        <w:rPr>
          <w:rFonts w:hint="eastAsia" w:ascii="宋体" w:hAnsi="宋体"/>
          <w:color w:val="000000"/>
          <w:sz w:val="24"/>
          <w:highlight w:val="none"/>
        </w:rPr>
      </w:pPr>
      <w:r>
        <w:rPr>
          <w:rFonts w:hint="eastAsia" w:ascii="宋体" w:hAnsi="宋体"/>
          <w:color w:val="000000"/>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color w:val="000000"/>
          <w:sz w:val="24"/>
          <w:highlight w:val="none"/>
        </w:rPr>
      </w:pPr>
    </w:p>
    <w:p>
      <w:pPr>
        <w:numPr>
          <w:ilvl w:val="0"/>
          <w:numId w:val="62"/>
        </w:numPr>
        <w:spacing w:line="360" w:lineRule="auto"/>
        <w:ind w:firstLine="482" w:firstLineChars="200"/>
        <w:outlineLvl w:val="9"/>
        <w:rPr>
          <w:rFonts w:hint="eastAsia"/>
          <w:b/>
          <w:color w:val="000000"/>
          <w:sz w:val="24"/>
          <w:highlight w:val="none"/>
        </w:rPr>
      </w:pPr>
      <w:r>
        <w:rPr>
          <w:rFonts w:hint="eastAsia"/>
          <w:b/>
          <w:color w:val="000000"/>
          <w:sz w:val="24"/>
          <w:highlight w:val="none"/>
        </w:rPr>
        <w:t>违约责任及免责条款</w:t>
      </w:r>
    </w:p>
    <w:p>
      <w:pPr>
        <w:widowControl/>
        <w:numPr>
          <w:ilvl w:val="0"/>
          <w:numId w:val="66"/>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color w:val="000000"/>
          <w:sz w:val="24"/>
          <w:highlight w:val="none"/>
          <w:lang w:eastAsia="zh-CN"/>
        </w:rPr>
        <w:t>赎回</w:t>
      </w:r>
      <w:r>
        <w:rPr>
          <w:rFonts w:hint="eastAsia" w:ascii="宋体" w:hAnsi="宋体"/>
          <w:color w:val="000000"/>
          <w:sz w:val="24"/>
          <w:highlight w:val="none"/>
        </w:rPr>
        <w:t>，本合同自动终止。因提前终止而产生的损失及相关费用由投资者承担。本合同前述情况终止的，理财本金不计付</w:t>
      </w:r>
      <w:r>
        <w:rPr>
          <w:rFonts w:hint="eastAsia" w:ascii="宋体" w:hAnsi="宋体"/>
          <w:color w:val="000000"/>
          <w:sz w:val="24"/>
          <w:highlight w:val="none"/>
          <w:lang w:eastAsia="zh-CN"/>
        </w:rPr>
        <w:t>赎回</w:t>
      </w:r>
      <w:r>
        <w:rPr>
          <w:rFonts w:hint="eastAsia" w:ascii="宋体" w:hAnsi="宋体"/>
          <w:color w:val="000000"/>
          <w:sz w:val="24"/>
          <w:highlight w:val="none"/>
        </w:rPr>
        <w:t>日前的理财收益，也不计付存款利息。</w:t>
      </w:r>
    </w:p>
    <w:p>
      <w:pPr>
        <w:widowControl/>
        <w:numPr>
          <w:ilvl w:val="0"/>
          <w:numId w:val="66"/>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违反本协议第二条内容，应承担相应违约责任。管理人对由此导致的理财业务交易延误、中断、终止及投资人损失不承担任何责任，并有权终止双方理财业务关系。因投资人违反双方约定解除本协议给管理人或全体投资者造成损失的，投资人应承担相应的赔偿责任。</w:t>
      </w:r>
    </w:p>
    <w:p>
      <w:pPr>
        <w:widowControl/>
        <w:numPr>
          <w:ilvl w:val="0"/>
          <w:numId w:val="66"/>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因国家有关法律、法规、规章、政策的修改或新的法律、法规、规章、政策颁布以及紧急措施的出台导致的风险及损失，管理人不承担责任。</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管理人若严格按照产品说明书相关规定并勤勉尽责进行投资运作，因市场波动、资产风险事件等非因管理人违反法律法规、监管规定或理财计划合同约定的原因给投资者造成损失的，管理人不承担相应赔偿责任；但管理人存在故意或者重大过失的除外。</w:t>
      </w:r>
    </w:p>
    <w:p>
      <w:pPr>
        <w:widowControl/>
        <w:spacing w:line="360" w:lineRule="auto"/>
        <w:contextualSpacing/>
        <w:rPr>
          <w:rFonts w:ascii="宋体" w:hAnsi="宋体"/>
          <w:color w:val="000000"/>
          <w:sz w:val="24"/>
          <w:highlight w:val="none"/>
        </w:rPr>
      </w:pPr>
    </w:p>
    <w:p>
      <w:pPr>
        <w:numPr>
          <w:ilvl w:val="0"/>
          <w:numId w:val="62"/>
        </w:numPr>
        <w:spacing w:line="360" w:lineRule="auto"/>
        <w:ind w:firstLine="482" w:firstLineChars="200"/>
        <w:outlineLvl w:val="9"/>
        <w:rPr>
          <w:b/>
          <w:color w:val="000000"/>
          <w:sz w:val="24"/>
          <w:highlight w:val="none"/>
        </w:rPr>
      </w:pPr>
      <w:r>
        <w:rPr>
          <w:rFonts w:hint="eastAsia"/>
          <w:b/>
          <w:color w:val="000000"/>
          <w:sz w:val="24"/>
          <w:highlight w:val="none"/>
        </w:rPr>
        <w:t>适用法律与争议解决</w:t>
      </w:r>
    </w:p>
    <w:p>
      <w:pPr>
        <w:widowControl/>
        <w:spacing w:line="360" w:lineRule="auto"/>
        <w:ind w:firstLine="480" w:firstLineChars="200"/>
        <w:contextualSpacing/>
        <w:rPr>
          <w:rFonts w:ascii="宋体" w:hAnsi="宋体"/>
          <w:color w:val="000000"/>
          <w:sz w:val="24"/>
          <w:highlight w:val="none"/>
        </w:rPr>
      </w:pPr>
      <w:r>
        <w:rPr>
          <w:rFonts w:hint="eastAsia" w:ascii="宋体" w:hAnsi="宋体"/>
          <w:color w:val="000000"/>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color w:val="000000"/>
          <w:sz w:val="24"/>
          <w:highlight w:val="none"/>
        </w:rPr>
        <w:t>的法律和行政法规。本合同项下的及与之有关的一切争议，投资者与管理人双方应首先协商解决，协商不成的，任何一方均有权向被告住所地有管辖权的人民法院提起诉讼。诉讼期间，未涉及争议的条款仍需继续履行。</w:t>
      </w:r>
    </w:p>
    <w:p>
      <w:pPr>
        <w:spacing w:line="360" w:lineRule="auto"/>
        <w:ind w:left="482"/>
        <w:rPr>
          <w:b/>
          <w:color w:val="000000"/>
          <w:sz w:val="24"/>
          <w:highlight w:val="none"/>
        </w:rPr>
      </w:pPr>
    </w:p>
    <w:p>
      <w:pPr>
        <w:numPr>
          <w:ilvl w:val="0"/>
          <w:numId w:val="62"/>
        </w:numPr>
        <w:spacing w:line="360" w:lineRule="auto"/>
        <w:ind w:firstLine="482" w:firstLineChars="200"/>
        <w:outlineLvl w:val="9"/>
        <w:rPr>
          <w:rFonts w:hint="eastAsia"/>
          <w:b/>
          <w:color w:val="000000"/>
          <w:sz w:val="24"/>
          <w:highlight w:val="none"/>
        </w:rPr>
      </w:pPr>
      <w:r>
        <w:rPr>
          <w:rFonts w:hint="eastAsia"/>
          <w:b/>
          <w:color w:val="000000"/>
          <w:sz w:val="24"/>
          <w:highlight w:val="none"/>
        </w:rPr>
        <w:t>协议生效和终止</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投资者和管理人双方认可本协议可以纸质或电子数据等形式提交、订立或确认。 </w:t>
      </w:r>
    </w:p>
    <w:p>
      <w:pPr>
        <w:widowControl/>
        <w:numPr>
          <w:ilvl w:val="0"/>
          <w:numId w:val="67"/>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本协议书以纸质书面形式订立的，自投资者</w:t>
      </w:r>
      <w:r>
        <w:rPr>
          <w:rFonts w:hint="eastAsia" w:ascii="宋体" w:hAnsi="宋体"/>
          <w:color w:val="000000"/>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color w:val="000000"/>
          <w:sz w:val="24"/>
          <w:highlight w:val="none"/>
        </w:rPr>
        <w:t>之后立即生效。协议一式</w:t>
      </w:r>
      <w:r>
        <w:rPr>
          <w:rFonts w:hint="eastAsia" w:ascii="宋体" w:hAnsi="宋体"/>
          <w:color w:val="000000"/>
          <w:sz w:val="24"/>
          <w:highlight w:val="none"/>
          <w:lang w:eastAsia="zh-CN"/>
        </w:rPr>
        <w:t>贰</w:t>
      </w:r>
      <w:r>
        <w:rPr>
          <w:rFonts w:hint="eastAsia" w:ascii="宋体" w:hAnsi="宋体"/>
          <w:color w:val="000000"/>
          <w:sz w:val="24"/>
          <w:highlight w:val="none"/>
        </w:rPr>
        <w:t>份，投资者和管理人双方各执</w:t>
      </w:r>
      <w:r>
        <w:rPr>
          <w:rFonts w:hint="eastAsia" w:ascii="宋体" w:hAnsi="宋体"/>
          <w:color w:val="000000"/>
          <w:sz w:val="24"/>
          <w:highlight w:val="none"/>
          <w:lang w:eastAsia="zh-CN"/>
        </w:rPr>
        <w:t>壹</w:t>
      </w:r>
      <w:r>
        <w:rPr>
          <w:rFonts w:hint="eastAsia" w:ascii="宋体" w:hAnsi="宋体"/>
          <w:color w:val="000000"/>
          <w:sz w:val="24"/>
          <w:highlight w:val="none"/>
        </w:rPr>
        <w:t xml:space="preserve">份，具有同等法律效力。 </w:t>
      </w:r>
    </w:p>
    <w:p>
      <w:pPr>
        <w:widowControl/>
        <w:numPr>
          <w:ilvl w:val="0"/>
          <w:numId w:val="67"/>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7"/>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color w:val="000000"/>
          <w:sz w:val="24"/>
          <w:highlight w:val="none"/>
        </w:rPr>
      </w:pPr>
    </w:p>
    <w:p>
      <w:pPr>
        <w:numPr>
          <w:ilvl w:val="0"/>
          <w:numId w:val="62"/>
        </w:numPr>
        <w:spacing w:line="360" w:lineRule="auto"/>
        <w:ind w:firstLine="482" w:firstLineChars="200"/>
        <w:outlineLvl w:val="9"/>
        <w:rPr>
          <w:b/>
          <w:color w:val="000000"/>
          <w:sz w:val="24"/>
          <w:highlight w:val="none"/>
        </w:rPr>
      </w:pPr>
      <w:r>
        <w:rPr>
          <w:rFonts w:hint="eastAsia"/>
          <w:b/>
          <w:color w:val="000000"/>
          <w:sz w:val="24"/>
          <w:highlight w:val="none"/>
        </w:rPr>
        <w:t>附则</w:t>
      </w:r>
    </w:p>
    <w:p>
      <w:pPr>
        <w:widowControl/>
        <w:numPr>
          <w:ilvl w:val="0"/>
          <w:numId w:val="68"/>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68"/>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如果由于任何原因使本合同下的任何条款或内容成为无效或被依法撤销，本合同其他条款或内容的合法性、有效性和可执行性不受影响。</w:t>
      </w:r>
    </w:p>
    <w:p>
      <w:pPr>
        <w:widowControl/>
        <w:numPr>
          <w:ilvl w:val="0"/>
          <w:numId w:val="68"/>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在理财计划存续期内，如因监管政策或法律法规发生变化，在不损害投资者利益的前提下，管理人有权对理财计划合同进行修订。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6"/>
        <w:widowControl/>
        <w:spacing w:line="360" w:lineRule="auto"/>
        <w:jc w:val="right"/>
        <w:rPr>
          <w:rFonts w:ascii="宋体" w:hAnsi="宋体" w:cs="宋体"/>
          <w:bCs/>
          <w:color w:val="000000"/>
          <w:sz w:val="24"/>
          <w:highlight w:val="none"/>
        </w:rPr>
      </w:pPr>
      <w:r>
        <w:rPr>
          <w:rFonts w:hint="eastAsia" w:ascii="宋体" w:hAnsi="宋体" w:cs="宋体"/>
          <w:color w:val="000000"/>
          <w:kern w:val="0"/>
          <w:highlight w:val="none"/>
        </w:rPr>
        <w:t>杭银理财有限责任公司</w:t>
      </w:r>
    </w:p>
    <w:p>
      <w:pPr>
        <w:pageBreakBefore/>
        <w:widowControl/>
        <w:spacing w:line="360" w:lineRule="auto"/>
        <w:rPr>
          <w:rFonts w:ascii="宋体" w:hAnsi="宋体"/>
          <w:color w:val="000000"/>
          <w:sz w:val="24"/>
          <w:highlight w:val="none"/>
        </w:rPr>
      </w:pPr>
      <w:r>
        <w:rPr>
          <w:rFonts w:hint="eastAsia" w:ascii="宋体" w:hAnsi="宋体"/>
          <w:color w:val="000000"/>
          <w:sz w:val="24"/>
          <w:highlight w:val="none"/>
        </w:rPr>
        <w:t>本页为纸质形式（如有）</w:t>
      </w:r>
      <w:r>
        <w:rPr>
          <w:rFonts w:hint="eastAsia" w:ascii="宋体" w:hAnsi="宋体"/>
          <w:color w:val="000000"/>
          <w:sz w:val="24"/>
          <w:highlight w:val="none"/>
          <w:lang w:val="en-US" w:eastAsia="zh-CN"/>
        </w:rPr>
        <w:t>投资</w:t>
      </w:r>
      <w:r>
        <w:rPr>
          <w:rFonts w:hint="eastAsia" w:ascii="宋体" w:hAnsi="宋体"/>
          <w:color w:val="000000"/>
          <w:sz w:val="24"/>
          <w:highlight w:val="none"/>
        </w:rPr>
        <w:t>协议书签章页</w:t>
      </w: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rFonts w:hint="eastAsia" w:ascii="宋体" w:hAnsi="宋体"/>
          <w:b/>
          <w:bCs/>
          <w:color w:val="000000"/>
          <w:sz w:val="24"/>
          <w:highlight w:val="none"/>
        </w:rPr>
      </w:pPr>
      <w:r>
        <w:rPr>
          <w:rFonts w:hint="eastAsia" w:ascii="宋体" w:hAnsi="宋体"/>
          <w:b/>
          <w:bCs/>
          <w:color w:val="000000"/>
          <w:sz w:val="24"/>
          <w:highlight w:val="none"/>
        </w:rPr>
        <w:t>投资者（签字</w:t>
      </w:r>
      <w:r>
        <w:rPr>
          <w:rFonts w:hint="eastAsia" w:ascii="宋体" w:hAnsi="宋体" w:eastAsia="宋体" w:cs="黑体"/>
          <w:b/>
          <w:bCs/>
          <w:color w:val="000000"/>
          <w:sz w:val="24"/>
          <w:highlight w:val="none"/>
          <w:lang w:eastAsia="zh-CN"/>
        </w:rPr>
        <w:t>或签章</w:t>
      </w:r>
      <w:r>
        <w:rPr>
          <w:rFonts w:hint="eastAsia" w:ascii="宋体" w:hAnsi="宋体"/>
          <w:b/>
          <w:bCs/>
          <w:color w:val="000000"/>
          <w:sz w:val="24"/>
          <w:highlight w:val="none"/>
        </w:rPr>
        <w:t>）：</w:t>
      </w:r>
    </w:p>
    <w:p>
      <w:pPr>
        <w:spacing w:line="360" w:lineRule="auto"/>
        <w:rPr>
          <w:rFonts w:hint="eastAsia" w:ascii="宋体" w:hAnsi="宋体"/>
          <w:b/>
          <w:bCs/>
          <w:color w:val="000000"/>
          <w:sz w:val="24"/>
          <w:highlight w:val="none"/>
        </w:rPr>
      </w:pPr>
    </w:p>
    <w:p>
      <w:pPr>
        <w:spacing w:line="360" w:lineRule="auto"/>
        <w:rPr>
          <w:rFonts w:hint="eastAsia" w:ascii="宋体" w:hAnsi="宋体"/>
          <w:b/>
          <w:bCs/>
          <w:color w:val="000000"/>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p>
      <w:pPr>
        <w:pageBreakBefore/>
        <w:widowControl/>
        <w:spacing w:line="120" w:lineRule="auto"/>
        <w:jc w:val="center"/>
        <w:outlineLvl w:val="9"/>
        <w:rPr>
          <w:rFonts w:hint="eastAsia" w:ascii="Calibri" w:hAnsi="Calibri" w:eastAsia="宋体" w:cs="黑体"/>
          <w:b/>
          <w:bCs w:val="0"/>
          <w:color w:val="000000"/>
          <w:sz w:val="44"/>
          <w:szCs w:val="44"/>
          <w:highlight w:val="none"/>
        </w:rPr>
      </w:pPr>
      <w:r>
        <w:rPr>
          <w:rFonts w:hint="eastAsia" w:ascii="Calibri" w:hAnsi="Calibri" w:eastAsia="宋体" w:cs="黑体"/>
          <w:b/>
          <w:bCs w:val="0"/>
          <w:color w:val="000000"/>
          <w:sz w:val="44"/>
          <w:szCs w:val="44"/>
          <w:highlight w:val="none"/>
          <w:lang w:val="en-US" w:eastAsia="zh-CN"/>
        </w:rPr>
        <w:t>杭银理财理财计划</w:t>
      </w:r>
      <w:r>
        <w:rPr>
          <w:rFonts w:hint="eastAsia" w:ascii="Calibri" w:hAnsi="Calibri" w:eastAsia="宋体" w:cs="黑体"/>
          <w:b/>
          <w:bCs w:val="0"/>
          <w:color w:val="000000"/>
          <w:sz w:val="44"/>
          <w:szCs w:val="44"/>
          <w:highlight w:val="none"/>
        </w:rPr>
        <w:t>销售协议书</w:t>
      </w:r>
    </w:p>
    <w:p>
      <w:pPr>
        <w:jc w:val="center"/>
        <w:rPr>
          <w:rFonts w:hint="eastAsia" w:ascii="宋体" w:hAnsi="宋体" w:eastAsia="宋体" w:cs="宋体"/>
          <w:b w:val="0"/>
          <w:bCs w:val="0"/>
          <w:color w:val="000000"/>
          <w:sz w:val="28"/>
          <w:szCs w:val="28"/>
          <w:highlight w:val="none"/>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eastAsia="zh-CN"/>
        </w:rPr>
        <w:t>202602</w:t>
      </w:r>
      <w:r>
        <w:rPr>
          <w:rFonts w:hint="eastAsia" w:ascii="宋体" w:hAnsi="宋体" w:eastAsia="宋体" w:cs="宋体"/>
          <w:color w:val="000000"/>
          <w:sz w:val="28"/>
          <w:szCs w:val="28"/>
          <w:highlight w:val="none"/>
        </w:rPr>
        <w:t>版）</w:t>
      </w:r>
    </w:p>
    <w:p>
      <w:pPr>
        <w:spacing w:line="360" w:lineRule="auto"/>
        <w:jc w:val="center"/>
        <w:rPr>
          <w:rFonts w:hint="default"/>
          <w:color w:val="000000"/>
          <w:sz w:val="32"/>
          <w:szCs w:val="40"/>
          <w:highlight w:val="none"/>
          <w:lang w:val="en-US" w:eastAsia="zh-CN"/>
        </w:rPr>
      </w:pPr>
      <w:r>
        <w:rPr>
          <w:rFonts w:hint="eastAsia" w:ascii="宋体" w:hAnsi="宋体" w:cs="宋体"/>
          <w:b/>
          <w:bCs/>
          <w:color w:val="000000"/>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color w:val="000000"/>
          <w:sz w:val="24"/>
          <w:highlight w:val="none"/>
        </w:rPr>
      </w:pPr>
      <w:r>
        <w:rPr>
          <w:rFonts w:hint="eastAsia" w:ascii="Calibri" w:hAnsi="Calibri" w:eastAsia="宋体" w:cs="黑体"/>
          <w:b/>
          <w:bCs/>
          <w:color w:val="000000"/>
          <w:sz w:val="24"/>
          <w:highlight w:val="none"/>
        </w:rPr>
        <w:t>特别提示：</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rPr>
        <w:t>杭银理财</w:t>
      </w:r>
      <w:r>
        <w:rPr>
          <w:rFonts w:hint="eastAsia" w:ascii="Calibri" w:hAnsi="Calibri" w:eastAsia="宋体" w:cs="黑体"/>
          <w:b/>
          <w:bCs/>
          <w:color w:val="000000"/>
          <w:sz w:val="24"/>
          <w:highlight w:val="none"/>
          <w:lang w:val="en-US" w:eastAsia="zh-CN"/>
        </w:rPr>
        <w:t>理财计划销售协议书</w:t>
      </w:r>
      <w:r>
        <w:rPr>
          <w:rFonts w:hint="eastAsia" w:ascii="宋体" w:hAnsi="宋体" w:eastAsia="宋体" w:cs="宋体"/>
          <w:b/>
          <w:bCs/>
          <w:color w:val="000000"/>
          <w:sz w:val="24"/>
          <w:highlight w:val="none"/>
          <w:lang w:val="en-US" w:eastAsia="zh-CN"/>
        </w:rPr>
        <w:t>（202602</w:t>
      </w:r>
      <w:r>
        <w:rPr>
          <w:rFonts w:hint="eastAsia" w:ascii="Calibri" w:hAnsi="Calibri" w:eastAsia="宋体" w:cs="黑体"/>
          <w:b/>
          <w:bCs/>
          <w:color w:val="000000"/>
          <w:sz w:val="24"/>
          <w:highlight w:val="none"/>
          <w:lang w:val="en-US" w:eastAsia="zh-CN"/>
        </w:rPr>
        <w:t>版）</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lang w:val="en-US" w:eastAsia="zh-CN"/>
        </w:rPr>
        <w:t>与对应期次的</w:t>
      </w:r>
      <w:r>
        <w:rPr>
          <w:rFonts w:hint="eastAsia" w:eastAsia="宋体" w:cs="黑体"/>
          <w:b/>
          <w:bCs/>
          <w:color w:val="000000"/>
          <w:sz w:val="24"/>
          <w:highlight w:val="none"/>
          <w:lang w:val="en-US" w:eastAsia="zh-CN"/>
        </w:rPr>
        <w:t>理财计划风险揭示书、理财计划产品说明书、投资者权益须知及</w:t>
      </w:r>
      <w:r>
        <w:rPr>
          <w:rFonts w:hint="eastAsia" w:ascii="Calibri" w:hAnsi="Calibri" w:eastAsia="宋体" w:cs="黑体"/>
          <w:b/>
          <w:bCs/>
          <w:color w:val="000000"/>
          <w:sz w:val="24"/>
          <w:highlight w:val="none"/>
        </w:rPr>
        <w:t>理财计划投资协议书共同构成完整且不可分割的理财计划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。杭银理财有限责任公司（以下简称“杭银理财”）建议投资者在购买理财计划前认真阅读</w:t>
      </w:r>
      <w:r>
        <w:rPr>
          <w:rFonts w:hint="eastAsia" w:ascii="Calibri" w:hAnsi="Calibri" w:eastAsia="宋体" w:cs="黑体"/>
          <w:b/>
          <w:bCs/>
          <w:color w:val="000000"/>
          <w:sz w:val="24"/>
          <w:highlight w:val="none"/>
          <w:lang w:val="en-US" w:eastAsia="zh-CN"/>
        </w:rPr>
        <w:t>全套</w:t>
      </w:r>
      <w:r>
        <w:rPr>
          <w:rFonts w:hint="eastAsia" w:ascii="Calibri" w:hAnsi="Calibri" w:eastAsia="宋体" w:cs="黑体"/>
          <w:b/>
          <w:bCs/>
          <w:color w:val="000000"/>
          <w:sz w:val="24"/>
          <w:highlight w:val="none"/>
        </w:rPr>
        <w:t>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，投资者签署本协议书（含电子渠道签署）即知晓并同意已详细阅读理财计划合同并知悉相关风险，自愿投资购买理财计划、遵守合同约定并承担相应风险。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color w:val="000000"/>
          <w:sz w:val="24"/>
          <w:highlight w:val="none"/>
          <w:lang w:val="en-US" w:eastAsia="zh-CN"/>
        </w:rPr>
      </w:pPr>
      <w:r>
        <w:rPr>
          <w:rFonts w:hint="eastAsia" w:ascii="Calibri" w:hAnsi="Calibri" w:eastAsia="宋体" w:cs="黑体"/>
          <w:b/>
          <w:bCs/>
          <w:color w:val="000000"/>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理财计划销售的相关法律主体为发行理财计划的理财公司、</w:t>
      </w:r>
      <w:r>
        <w:rPr>
          <w:rFonts w:hint="eastAsia" w:eastAsia="宋体" w:cs="黑体"/>
          <w:color w:val="000000"/>
          <w:sz w:val="24"/>
          <w:highlight w:val="none"/>
          <w:lang w:val="en-US" w:eastAsia="zh-CN"/>
        </w:rPr>
        <w:t>理财公司自有销售渠道以及</w:t>
      </w:r>
      <w:r>
        <w:rPr>
          <w:rFonts w:hint="eastAsia" w:ascii="Calibri" w:hAnsi="Calibri" w:eastAsia="宋体" w:cs="黑体"/>
          <w:color w:val="000000"/>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color w:val="000000"/>
          <w:sz w:val="24"/>
          <w:highlight w:val="none"/>
          <w:lang w:val="en-US" w:eastAsia="zh-CN"/>
        </w:rPr>
        <w:t>理财公司和</w:t>
      </w:r>
      <w:r>
        <w:rPr>
          <w:rFonts w:hint="eastAsia" w:ascii="Calibri" w:hAnsi="Calibri" w:eastAsia="宋体" w:cs="黑体"/>
          <w:color w:val="000000"/>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第一条 </w:t>
      </w:r>
      <w:r>
        <w:rPr>
          <w:rFonts w:hint="eastAsia" w:ascii="Calibri" w:hAnsi="Calibri" w:eastAsia="宋体" w:cs="黑体"/>
          <w:b/>
          <w:bCs/>
          <w:color w:val="000000"/>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r>
        <w:rPr>
          <w:rFonts w:hint="eastAsia" w:ascii="Calibri" w:hAnsi="Calibri" w:eastAsia="宋体" w:cs="黑体"/>
          <w:bCs/>
          <w:color w:val="000000"/>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第二条 </w:t>
      </w:r>
      <w:r>
        <w:rPr>
          <w:rFonts w:hint="eastAsia" w:ascii="Calibri" w:hAnsi="Calibri" w:eastAsia="宋体" w:cs="黑体"/>
          <w:b/>
          <w:bCs/>
          <w:color w:val="000000"/>
          <w:sz w:val="24"/>
          <w:highlight w:val="none"/>
          <w:lang w:val="en-US" w:eastAsia="zh-CN"/>
        </w:rPr>
        <w:t>投资者权利与义务</w:t>
      </w:r>
    </w:p>
    <w:p>
      <w:pPr>
        <w:widowControl/>
        <w:numPr>
          <w:ilvl w:val="0"/>
          <w:numId w:val="69"/>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9"/>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投资者保证自身完全了解理财投资的性质，投资所涉及的风险以及自身风险承受能力，在慎重考虑后独立作出交易决定。</w:t>
      </w:r>
    </w:p>
    <w:p>
      <w:pPr>
        <w:widowControl/>
        <w:numPr>
          <w:ilvl w:val="0"/>
          <w:numId w:val="69"/>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rPr>
        <w:t>投资者购买</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lang w:eastAsia="zh-CN"/>
        </w:rPr>
        <w:t>代理销售</w:t>
      </w:r>
      <w:r>
        <w:rPr>
          <w:rFonts w:hint="eastAsia" w:ascii="宋体" w:hAnsi="宋体" w:eastAsia="宋体" w:cs="黑体"/>
          <w:b/>
          <w:bCs/>
          <w:color w:val="000000"/>
          <w:sz w:val="24"/>
          <w:highlight w:val="none"/>
        </w:rPr>
        <w:t>的私募</w:t>
      </w:r>
      <w:r>
        <w:rPr>
          <w:rFonts w:hint="eastAsia" w:ascii="宋体" w:hAnsi="宋体" w:eastAsia="宋体" w:cs="黑体"/>
          <w:b/>
          <w:bCs/>
          <w:color w:val="000000"/>
          <w:sz w:val="24"/>
          <w:highlight w:val="none"/>
          <w:lang w:eastAsia="zh-CN"/>
        </w:rPr>
        <w:t>理财计划</w:t>
      </w:r>
      <w:r>
        <w:rPr>
          <w:rFonts w:hint="eastAsia" w:ascii="宋体" w:hAnsi="宋体" w:eastAsia="宋体" w:cs="黑体"/>
          <w:b/>
          <w:bCs/>
          <w:color w:val="000000"/>
          <w:sz w:val="24"/>
          <w:highlight w:val="none"/>
        </w:rPr>
        <w:t>后，可以享有24 小时的投资冷静期，在投资冷静期内，如</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改变投资决定，应提出解除相应理财</w:t>
      </w:r>
      <w:r>
        <w:rPr>
          <w:rFonts w:hint="eastAsia" w:ascii="宋体" w:hAnsi="宋体" w:eastAsia="宋体" w:cs="黑体"/>
          <w:b/>
          <w:bCs/>
          <w:color w:val="000000"/>
          <w:sz w:val="24"/>
          <w:highlight w:val="none"/>
          <w:lang w:val="en-US" w:eastAsia="zh-CN"/>
        </w:rPr>
        <w:t>计划合同</w:t>
      </w:r>
      <w:r>
        <w:rPr>
          <w:rFonts w:hint="eastAsia" w:ascii="宋体" w:hAnsi="宋体" w:eastAsia="宋体" w:cs="黑体"/>
          <w:b/>
          <w:bCs/>
          <w:color w:val="000000"/>
          <w:sz w:val="24"/>
          <w:highlight w:val="none"/>
        </w:rPr>
        <w:t>文件申请，</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将及时退还</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的全部投资款项。</w:t>
      </w:r>
      <w:r>
        <w:rPr>
          <w:rFonts w:hint="eastAsia" w:ascii="宋体" w:hAnsi="宋体" w:eastAsia="宋体" w:cs="黑体"/>
          <w:color w:val="000000"/>
          <w:sz w:val="24"/>
          <w:highlight w:val="none"/>
        </w:rPr>
        <w:t>投资冷静期相关约定详见</w:t>
      </w:r>
      <w:r>
        <w:rPr>
          <w:rFonts w:hint="eastAsia" w:ascii="宋体" w:hAnsi="宋体" w:eastAsia="宋体" w:cs="黑体"/>
          <w:color w:val="000000"/>
          <w:sz w:val="24"/>
          <w:highlight w:val="none"/>
          <w:lang w:val="en-US" w:eastAsia="zh-CN"/>
        </w:rPr>
        <w:t>理财计划产品</w:t>
      </w:r>
      <w:r>
        <w:rPr>
          <w:rFonts w:hint="eastAsia" w:ascii="宋体" w:hAnsi="宋体" w:eastAsia="宋体" w:cs="黑体"/>
          <w:color w:val="000000"/>
          <w:sz w:val="24"/>
          <w:highlight w:val="none"/>
        </w:rPr>
        <w:t>说明书</w:t>
      </w:r>
      <w:r>
        <w:rPr>
          <w:rFonts w:hint="eastAsia" w:ascii="宋体" w:hAnsi="宋体" w:eastAsia="宋体" w:cs="黑体"/>
          <w:color w:val="000000"/>
          <w:sz w:val="24"/>
          <w:highlight w:val="none"/>
          <w:lang w:eastAsia="zh-CN"/>
        </w:rPr>
        <w:t>。</w:t>
      </w:r>
    </w:p>
    <w:p>
      <w:pPr>
        <w:widowControl/>
        <w:numPr>
          <w:ilvl w:val="0"/>
          <w:numId w:val="69"/>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投资者保证其有权利签署本协议和履行本协议所述的义务，并已为此采取一切所需的行为。</w:t>
      </w:r>
    </w:p>
    <w:p>
      <w:pPr>
        <w:widowControl/>
        <w:numPr>
          <w:ilvl w:val="0"/>
          <w:numId w:val="69"/>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投资者保证执行及交付任何文件或履行本协议项下的义务，均不会违反任何适用法律、法规、法令或法律限制</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color w:val="000000"/>
          <w:sz w:val="24"/>
          <w:highlight w:val="none"/>
          <w:lang w:val="en-US" w:eastAsia="zh-CN"/>
        </w:rPr>
        <w:t>其</w:t>
      </w:r>
      <w:r>
        <w:rPr>
          <w:rFonts w:hint="eastAsia" w:ascii="宋体" w:hAnsi="宋体" w:eastAsia="宋体" w:cs="黑体"/>
          <w:color w:val="000000"/>
          <w:sz w:val="24"/>
          <w:highlight w:val="none"/>
        </w:rPr>
        <w:t>授权指定</w:t>
      </w:r>
      <w:r>
        <w:rPr>
          <w:rFonts w:hint="eastAsia" w:ascii="宋体" w:hAnsi="宋体" w:eastAsia="宋体" w:cs="黑体"/>
          <w:color w:val="000000"/>
          <w:sz w:val="24"/>
          <w:highlight w:val="none"/>
          <w:lang w:val="en-US" w:eastAsia="zh-CN"/>
        </w:rPr>
        <w:t>的</w:t>
      </w:r>
      <w:r>
        <w:rPr>
          <w:rFonts w:hint="eastAsia" w:ascii="宋体" w:hAnsi="宋体" w:eastAsia="宋体" w:cs="黑体"/>
          <w:color w:val="000000"/>
          <w:sz w:val="24"/>
          <w:highlight w:val="none"/>
        </w:rPr>
        <w:t>账户</w:t>
      </w:r>
      <w:r>
        <w:rPr>
          <w:rFonts w:hint="eastAsia" w:ascii="宋体" w:hAnsi="宋体" w:eastAsia="宋体" w:cs="黑体"/>
          <w:color w:val="000000"/>
          <w:sz w:val="24"/>
          <w:highlight w:val="none"/>
          <w:lang w:val="en-US" w:eastAsia="zh-CN"/>
        </w:rPr>
        <w:t>中（以下简称“授权指定账户”）</w:t>
      </w:r>
      <w:r>
        <w:rPr>
          <w:rFonts w:hint="eastAsia" w:ascii="宋体" w:hAnsi="宋体" w:eastAsia="宋体" w:cs="黑体"/>
          <w:color w:val="000000"/>
          <w:sz w:val="24"/>
          <w:highlight w:val="none"/>
        </w:rPr>
        <w:t>存入足额的资金以确保账户余额大于或等于认/申购金额。</w:t>
      </w:r>
    </w:p>
    <w:p>
      <w:pPr>
        <w:widowControl/>
        <w:numPr>
          <w:ilvl w:val="0"/>
          <w:numId w:val="69"/>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在此确认</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的系统记录以及录音、录像构成对</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操作行为（包括但不限于购买、赎回、撤单）的有效证据，并且在</w:t>
      </w:r>
      <w:r>
        <w:rPr>
          <w:rFonts w:hint="eastAsia" w:ascii="宋体" w:hAnsi="宋体" w:eastAsia="宋体" w:cs="黑体"/>
          <w:b/>
          <w:bCs/>
          <w:color w:val="000000"/>
          <w:sz w:val="24"/>
          <w:highlight w:val="none"/>
          <w:lang w:val="en-US" w:eastAsia="zh-CN"/>
        </w:rPr>
        <w:t>双</w:t>
      </w:r>
      <w:r>
        <w:rPr>
          <w:rFonts w:hint="eastAsia" w:ascii="宋体" w:hAnsi="宋体" w:eastAsia="宋体" w:cs="黑体"/>
          <w:b/>
          <w:bCs/>
          <w:color w:val="000000"/>
          <w:sz w:val="24"/>
          <w:highlight w:val="none"/>
        </w:rPr>
        <w:t>方发生争议时可以作为合法有效的证据使用</w:t>
      </w:r>
      <w:r>
        <w:rPr>
          <w:rFonts w:hint="eastAsia" w:ascii="宋体" w:hAnsi="宋体" w:eastAsia="宋体" w:cs="黑体"/>
          <w:color w:val="000000"/>
          <w:sz w:val="24"/>
          <w:highlight w:val="none"/>
          <w:lang w:eastAsia="zh-CN"/>
        </w:rPr>
        <w:t>。</w:t>
      </w:r>
    </w:p>
    <w:p>
      <w:pPr>
        <w:widowControl/>
        <w:numPr>
          <w:ilvl w:val="0"/>
          <w:numId w:val="69"/>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由此产生的后果由投资者自行承担；但因销售机构故意或重大过失造成投资者损失的，销售机构仍应依法承担相应责任。 </w:t>
      </w:r>
    </w:p>
    <w:p>
      <w:pPr>
        <w:widowControl/>
        <w:numPr>
          <w:ilvl w:val="0"/>
          <w:numId w:val="69"/>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在本理财计划存续期内，如有权机关要求销售机构配合对投资者理财份额、理财账户、授权指定账户进行查封、冻结或扣划的，销售机构有权根据实际情况依法采取相应措施。因配合有权机关依法采取前述措施产生的后果，销售机构不承担责任；但因销售机构故意或重大过失造成投资者损失的，销售机构仍应依法承担相应责任。 </w:t>
      </w:r>
    </w:p>
    <w:p>
      <w:pPr>
        <w:widowControl/>
        <w:numPr>
          <w:ilvl w:val="0"/>
          <w:numId w:val="69"/>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终止前，投资者不得将授权指定账户销户。若发生因投资者注销授权指定账户造成理财计划无法正常兑付的，由此产生的后果由投资者自行承担；但因销售机构故意或重大过失造成投资者损失的，销售机构仍应依法承担相应责任。</w:t>
      </w:r>
    </w:p>
    <w:p>
      <w:pPr>
        <w:widowControl/>
        <w:numPr>
          <w:ilvl w:val="0"/>
          <w:numId w:val="69"/>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投资者应确保其提供的所有资料真实、完整、合法、有效，如果有任何变更，投资者应及时通知销售机构并办理变更手续。如因投资者未及时通知销售机构并办理相应的变更手续，由此导致的后果由投资者自行承担；但因销售机构故意或重大过失造成投资者损失的，销售机构仍应依法承担相应责任。 </w:t>
      </w:r>
    </w:p>
    <w:p>
      <w:pPr>
        <w:widowControl/>
        <w:numPr>
          <w:ilvl w:val="0"/>
          <w:numId w:val="69"/>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lang w:val="en-US" w:eastAsia="zh-CN"/>
        </w:rPr>
        <w:t>投资者对因签署、履行本协议所知悉且销售机构已明确提示属于保密范围的销售机构业务资料及非公开信息负有保密义务，未经销售机构书面许可，不得向任何组织、个人提供或泄露，但法律、法规另有规定的除外。</w:t>
      </w:r>
    </w:p>
    <w:p>
      <w:pPr>
        <w:widowControl/>
        <w:numPr>
          <w:ilvl w:val="0"/>
          <w:numId w:val="69"/>
        </w:numPr>
        <w:spacing w:line="360" w:lineRule="auto"/>
        <w:ind w:left="0" w:leftChars="0" w:firstLine="420" w:firstLineChars="0"/>
        <w:contextualSpacing/>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投资者进行投资时，应严格遵守反洗钱相关法规的规定，切实履行反洗钱及反恐怖融资义务。</w:t>
      </w:r>
    </w:p>
    <w:p>
      <w:pPr>
        <w:widowControl/>
        <w:numPr>
          <w:ilvl w:val="0"/>
          <w:numId w:val="69"/>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按照合法、正当、必要原则收集、存储、使用、加工、传输投资者个人信息，处理范围限于实现前述目的所必需的信息，包括个人身份信息、联络方式、财产信息、账户信息、风险偏好与投资目标及法律法规规定的其他必要信息。</w:t>
      </w:r>
    </w:p>
    <w:p>
      <w:pPr>
        <w:widowControl/>
        <w:numPr>
          <w:ilvl w:val="0"/>
          <w:numId w:val="69"/>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w:t>
      </w:r>
      <w:r>
        <w:rPr>
          <w:rFonts w:hint="eastAsia" w:ascii="宋体" w:hAnsi="宋体"/>
          <w:b/>
          <w:bCs/>
          <w:color w:val="000000"/>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第三条 </w:t>
      </w:r>
      <w:r>
        <w:rPr>
          <w:rFonts w:hint="eastAsia" w:ascii="Calibri" w:hAnsi="Calibri" w:eastAsia="宋体" w:cs="黑体"/>
          <w:b/>
          <w:bCs/>
          <w:color w:val="000000"/>
          <w:sz w:val="24"/>
          <w:highlight w:val="none"/>
          <w:lang w:val="en-US" w:eastAsia="zh-CN"/>
        </w:rPr>
        <w:t>销售机构的权利与义务</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b/>
          <w:bCs/>
          <w:color w:val="000000"/>
          <w:sz w:val="24"/>
          <w:highlight w:val="none"/>
          <w:lang w:val="en-US" w:eastAsia="zh-CN"/>
        </w:rPr>
        <w:t>代理销售机构非本计划的发行、管理机构，对本计划的业绩不承担任何保证和其他经济责任，不承担本计划的投资和兑付管理责任</w:t>
      </w:r>
      <w:r>
        <w:rPr>
          <w:rFonts w:hint="eastAsia" w:ascii="宋体" w:hAnsi="宋体" w:eastAsia="宋体" w:cs="黑体"/>
          <w:color w:val="000000"/>
          <w:sz w:val="24"/>
          <w:highlight w:val="none"/>
          <w:lang w:val="en-US" w:eastAsia="zh-CN"/>
        </w:rPr>
        <w:t>。</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销售机构应定期对购买其代理销售的理财计划的普通投资者进行有效风险承受能力评估，并保证向投资者推介及销售与其风险承受能力匹配的产品。</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64"/>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64"/>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64"/>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第四条 </w:t>
      </w:r>
      <w:r>
        <w:rPr>
          <w:rFonts w:hint="eastAsia" w:ascii="Calibri" w:hAnsi="Calibri" w:eastAsia="宋体" w:cs="黑体"/>
          <w:b/>
          <w:bCs/>
          <w:color w:val="000000"/>
          <w:sz w:val="24"/>
          <w:highlight w:val="none"/>
          <w:lang w:val="en-US" w:eastAsia="zh-CN"/>
        </w:rPr>
        <w:t>理财计划认（申）购、赎回及终止</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理财计划认/申购办理流程：参照投资者权益须知约定。 </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理财计划认/申购确认：管理人根据</w:t>
      </w:r>
      <w:r>
        <w:rPr>
          <w:rFonts w:hint="eastAsia" w:ascii="宋体" w:hAnsi="宋体" w:eastAsia="宋体" w:cs="黑体"/>
          <w:color w:val="000000"/>
          <w:sz w:val="24"/>
          <w:highlight w:val="none"/>
          <w:lang w:eastAsia="zh-CN"/>
        </w:rPr>
        <w:t>销售</w:t>
      </w:r>
      <w:r>
        <w:rPr>
          <w:rFonts w:hint="eastAsia" w:ascii="宋体" w:hAnsi="宋体" w:eastAsia="宋体" w:cs="黑体"/>
          <w:color w:val="000000"/>
          <w:sz w:val="24"/>
          <w:highlight w:val="none"/>
        </w:rPr>
        <w:t>渠道提供的交易信息及资金划付对投资者相应认/申购进行确认。</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理财计划赎回/终止兑付：在正常情况下，管理人和</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产品说明书约定管理人对理财计划进行延期或转换时，</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将于原约定清算日前通过信息披露途径及时通知，并根据实际情况进行后续处理。</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资金清算：理财计划终止或份额赎回时，管理人按理财计划合同约定划付至</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清算账户后，由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向投资者划付投资者应得资金。如因投资者清算账户余额不足，或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未及时足额划付资金，或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清算账户内资金被依法冻结或扣划，或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清算账户处于被挂失、冻结、注销或其他非正常状态等原因而导致交易失败</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对于因上述原因导致的交易失败可能带来的任何损失及预期损失，投资者须自行承担或向</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第五条 </w:t>
      </w:r>
      <w:r>
        <w:rPr>
          <w:rFonts w:hint="eastAsia" w:ascii="Calibri" w:hAnsi="Calibri" w:eastAsia="宋体" w:cs="黑体"/>
          <w:b/>
          <w:bCs/>
          <w:color w:val="000000"/>
          <w:sz w:val="24"/>
          <w:highlight w:val="none"/>
          <w:lang w:val="en-US" w:eastAsia="zh-CN"/>
        </w:rPr>
        <w:t>违约责任及免责条款</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因投资者原因导致司法或行政等有权机关采取强制措施对其理财本金、收益进行部分或全部扣划的，管理人或销售机构有权根据产品运作和法律法规要求对相应理财份额办理部分或全部提前终止或采取其他必要处置措施，本协议相应终止。因前述情形产生的损失及相关费用由投资者承担；理财收益按照实际运作情况计算和分配，不计付存款利息。</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投资者违反本协议第二条内容，应承担相应违约责任。销售机构对由此导致的理财业务交易延误、中断、终止及投资者损失不承担任何责任，并有权终止双方理财业务关系。因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违反双方约定给</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或全体投资者造成损失的，</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应承担相应的赔偿责任。</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若由于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过错导致理财计划资产发生损失，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应按其过错承担赔偿责任，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赔偿的款项计入理财计划的资产和收益。</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由于地震、火灾、战争等不可抗力或突发重大卫生公共事件等不可预测事件造成的交易中断、延误等风险及损失，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不承担责任；但</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应在上述情况发生</w:t>
      </w:r>
      <w:r>
        <w:rPr>
          <w:rFonts w:hint="eastAsia" w:ascii="宋体" w:hAnsi="宋体" w:eastAsia="宋体" w:cs="黑体"/>
          <w:color w:val="000000"/>
          <w:sz w:val="24"/>
          <w:highlight w:val="none"/>
          <w:lang w:eastAsia="zh-CN"/>
        </w:rPr>
        <w:t>后</w:t>
      </w:r>
      <w:r>
        <w:rPr>
          <w:rFonts w:hint="eastAsia" w:ascii="宋体" w:hAnsi="宋体" w:eastAsia="宋体" w:cs="黑体"/>
          <w:color w:val="000000"/>
          <w:sz w:val="24"/>
          <w:highlight w:val="none"/>
        </w:rPr>
        <w:t>在条件允许时及时通知</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并采取一切必要且可能的措施阻止损失扩大。</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因国家有关法律、法规、规章、政策的修改或新的法律、法规、规章、政策颁布以及紧急措施的出台导致的风险及损失，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color w:val="000000"/>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第六条 </w:t>
      </w:r>
      <w:r>
        <w:rPr>
          <w:rFonts w:hint="eastAsia" w:ascii="Calibri" w:hAnsi="Calibri" w:eastAsia="宋体" w:cs="黑体"/>
          <w:b/>
          <w:bCs/>
          <w:color w:val="000000"/>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任何一方均有权向被告住所地有管辖权的人民法院提起诉讼。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第七条 </w:t>
      </w:r>
      <w:r>
        <w:rPr>
          <w:rFonts w:hint="eastAsia" w:ascii="Calibri" w:hAnsi="Calibri" w:eastAsia="宋体" w:cs="黑体"/>
          <w:b/>
          <w:bCs/>
          <w:color w:val="000000"/>
          <w:sz w:val="24"/>
          <w:highlight w:val="none"/>
          <w:lang w:val="en-US" w:eastAsia="zh-CN"/>
        </w:rPr>
        <w:t>协议生效和终止</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双方认可本协议可以纸质或电子数据等形式提交、订立或确认。 </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本协议书</w:t>
      </w:r>
      <w:r>
        <w:rPr>
          <w:rFonts w:hint="eastAsia" w:ascii="宋体" w:hAnsi="宋体"/>
          <w:color w:val="000000"/>
          <w:sz w:val="24"/>
          <w:highlight w:val="none"/>
        </w:rPr>
        <w:t>以纸质书面形式订立的，自投资者签</w:t>
      </w:r>
      <w:r>
        <w:rPr>
          <w:rFonts w:hint="eastAsia" w:ascii="宋体" w:hAnsi="宋体"/>
          <w:color w:val="000000"/>
          <w:sz w:val="24"/>
          <w:highlight w:val="none"/>
          <w:lang w:val="en-US" w:eastAsia="zh-CN"/>
        </w:rPr>
        <w:t>署（如投资者为个人，应签字；如投资者为机构，应法定代表人或授权代理人签字或盖章并加盖公章或有效授权印章）</w:t>
      </w:r>
      <w:r>
        <w:rPr>
          <w:rFonts w:hint="eastAsia" w:ascii="宋体" w:hAnsi="宋体"/>
          <w:color w:val="000000"/>
          <w:sz w:val="24"/>
          <w:highlight w:val="none"/>
        </w:rPr>
        <w:t>和</w:t>
      </w:r>
      <w:r>
        <w:rPr>
          <w:rFonts w:hint="eastAsia" w:ascii="宋体" w:hAnsi="宋体"/>
          <w:color w:val="000000"/>
          <w:sz w:val="24"/>
          <w:highlight w:val="none"/>
          <w:lang w:eastAsia="zh-CN"/>
        </w:rPr>
        <w:t>销售机构</w:t>
      </w:r>
      <w:r>
        <w:rPr>
          <w:rFonts w:hint="eastAsia" w:ascii="宋体" w:hAnsi="宋体"/>
          <w:color w:val="000000"/>
          <w:sz w:val="24"/>
          <w:highlight w:val="none"/>
        </w:rPr>
        <w:t>签章之后立即生效。协议一式叁份，投资者、管理人和</w:t>
      </w:r>
      <w:r>
        <w:rPr>
          <w:rFonts w:hint="eastAsia" w:ascii="宋体" w:hAnsi="宋体"/>
          <w:color w:val="000000"/>
          <w:sz w:val="24"/>
          <w:highlight w:val="none"/>
          <w:lang w:eastAsia="zh-CN"/>
        </w:rPr>
        <w:t>销售机构</w:t>
      </w:r>
      <w:r>
        <w:rPr>
          <w:rFonts w:hint="eastAsia" w:ascii="宋体" w:hAnsi="宋体"/>
          <w:color w:val="000000"/>
          <w:sz w:val="24"/>
          <w:highlight w:val="none"/>
        </w:rPr>
        <w:t>各执壹份，具有同等法律效力。</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本协议书以数据电文形式订立的，投资者在销售机构的电子银行渠道（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color w:val="000000"/>
          <w:sz w:val="24"/>
          <w:highlight w:val="none"/>
          <w:lang w:val="en-US" w:eastAsia="zh-CN"/>
        </w:rPr>
      </w:pPr>
      <w:r>
        <w:rPr>
          <w:rFonts w:hint="eastAsia" w:eastAsia="宋体" w:cs="黑体"/>
          <w:b/>
          <w:bCs w:val="0"/>
          <w:color w:val="000000"/>
          <w:sz w:val="24"/>
          <w:highlight w:val="none"/>
          <w:lang w:val="en-US" w:eastAsia="zh-CN"/>
        </w:rPr>
        <w:t xml:space="preserve">第八条 </w:t>
      </w:r>
      <w:r>
        <w:rPr>
          <w:rFonts w:hint="eastAsia" w:ascii="Calibri" w:hAnsi="Calibri" w:eastAsia="宋体" w:cs="黑体"/>
          <w:b/>
          <w:bCs w:val="0"/>
          <w:color w:val="000000"/>
          <w:sz w:val="24"/>
          <w:highlight w:val="none"/>
          <w:lang w:val="en-US" w:eastAsia="zh-CN"/>
        </w:rPr>
        <w:t xml:space="preserve">附则 </w:t>
      </w:r>
    </w:p>
    <w:p>
      <w:pPr>
        <w:keepNext w:val="0"/>
        <w:keepLines w:val="0"/>
        <w:pageBreakBefore w:val="0"/>
        <w:widowControl/>
        <w:numPr>
          <w:ilvl w:val="0"/>
          <w:numId w:val="7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如果投资者与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之间存在多份理财计划</w:t>
      </w:r>
      <w:r>
        <w:rPr>
          <w:rFonts w:hint="eastAsia" w:ascii="宋体" w:hAnsi="宋体" w:eastAsia="宋体" w:cs="黑体"/>
          <w:color w:val="000000"/>
          <w:sz w:val="24"/>
          <w:highlight w:val="none"/>
          <w:lang w:val="en-US" w:eastAsia="zh-CN"/>
        </w:rPr>
        <w:t>销售</w:t>
      </w:r>
      <w:r>
        <w:rPr>
          <w:rFonts w:hint="eastAsia" w:ascii="宋体" w:hAnsi="宋体" w:eastAsia="宋体" w:cs="黑体"/>
          <w:color w:val="000000"/>
          <w:sz w:val="24"/>
          <w:highlight w:val="none"/>
        </w:rPr>
        <w:t>协议书，则每一协议书分别与其所对应的</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7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7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在理财计划存续期内，如因监管政策或法律法规发生变化，在不损害投资者利益的前提下，管理人有权对理财计划合同销售文件进行修订。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color w:val="000000"/>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widowControl/>
        <w:spacing w:line="360" w:lineRule="auto"/>
        <w:jc w:val="right"/>
        <w:rPr>
          <w:rFonts w:hint="eastAsia" w:ascii="宋体" w:hAnsi="宋体" w:eastAsia="宋体" w:cs="黑体"/>
          <w:b w:val="0"/>
          <w:bCs w:val="0"/>
          <w:color w:val="000000"/>
          <w:sz w:val="24"/>
          <w:szCs w:val="24"/>
          <w:highlight w:val="none"/>
          <w:lang w:val="en-US" w:eastAsia="zh-CN"/>
        </w:rPr>
      </w:pPr>
      <w:r>
        <w:rPr>
          <w:rFonts w:hint="eastAsia" w:ascii="宋体" w:hAnsi="宋体" w:eastAsia="宋体" w:cs="宋体"/>
          <w:color w:val="000000"/>
          <w:kern w:val="0"/>
          <w:sz w:val="24"/>
          <w:szCs w:val="24"/>
          <w:highlight w:val="none"/>
          <w:lang w:val="en-US" w:eastAsia="zh-CN" w:bidi="ar-SA"/>
        </w:rPr>
        <w:t>杭银理财有限责任公司</w:t>
      </w:r>
    </w:p>
    <w:p>
      <w:pPr>
        <w:rPr>
          <w:rFonts w:hint="eastAsia"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br w:type="page"/>
      </w:r>
    </w:p>
    <w:p>
      <w:pPr>
        <w:rPr>
          <w:rFonts w:hint="default"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t>本页为</w:t>
      </w:r>
      <w:r>
        <w:rPr>
          <w:rFonts w:hint="eastAsia" w:ascii="宋体" w:hAnsi="宋体" w:eastAsia="宋体" w:cs="黑体"/>
          <w:b w:val="0"/>
          <w:bCs w:val="0"/>
          <w:color w:val="000000"/>
          <w:sz w:val="24"/>
          <w:szCs w:val="24"/>
          <w:highlight w:val="none"/>
        </w:rPr>
        <w:t>纸质</w:t>
      </w:r>
      <w:r>
        <w:rPr>
          <w:rFonts w:hint="eastAsia" w:ascii="宋体" w:hAnsi="宋体" w:eastAsia="宋体" w:cs="黑体"/>
          <w:b w:val="0"/>
          <w:bCs w:val="0"/>
          <w:color w:val="00000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r>
        <w:rPr>
          <w:rFonts w:hint="eastAsia" w:ascii="宋体" w:hAnsi="宋体" w:eastAsia="宋体" w:cs="黑体"/>
          <w:b/>
          <w:bCs/>
          <w:color w:val="000000"/>
          <w:sz w:val="24"/>
          <w:highlight w:val="none"/>
        </w:rPr>
        <w:t>投资者</w:t>
      </w:r>
      <w:r>
        <w:rPr>
          <w:rFonts w:hint="eastAsia" w:ascii="宋体" w:hAnsi="宋体" w:eastAsia="宋体" w:cs="黑体"/>
          <w:b/>
          <w:bCs/>
          <w:color w:val="000000"/>
          <w:sz w:val="24"/>
          <w:highlight w:val="none"/>
          <w:lang w:eastAsia="zh-CN"/>
        </w:rPr>
        <w:t>（</w:t>
      </w:r>
      <w:r>
        <w:rPr>
          <w:rFonts w:hint="eastAsia" w:ascii="宋体" w:hAnsi="宋体" w:eastAsia="宋体" w:cs="黑体"/>
          <w:b/>
          <w:bCs/>
          <w:color w:val="000000"/>
          <w:sz w:val="24"/>
          <w:highlight w:val="none"/>
        </w:rPr>
        <w:t>签字</w:t>
      </w:r>
      <w:r>
        <w:rPr>
          <w:rFonts w:hint="eastAsia" w:ascii="宋体" w:hAnsi="宋体" w:eastAsia="宋体" w:cs="黑体"/>
          <w:b/>
          <w:bCs/>
          <w:color w:val="000000"/>
          <w:sz w:val="24"/>
          <w:highlight w:val="none"/>
          <w:lang w:eastAsia="zh-CN"/>
        </w:rPr>
        <w:t>或签章）</w:t>
      </w:r>
      <w:r>
        <w:rPr>
          <w:rFonts w:hint="eastAsia" w:ascii="宋体" w:hAnsi="宋体" w:eastAsia="宋体" w:cs="黑体"/>
          <w:b/>
          <w:bCs/>
          <w:color w:val="000000"/>
          <w:sz w:val="24"/>
          <w:szCs w:val="24"/>
          <w:highlight w:val="none"/>
          <w:lang w:eastAsia="zh-CN"/>
        </w:rPr>
        <w:t>：</w:t>
      </w:r>
    </w:p>
    <w:p>
      <w:pPr>
        <w:spacing w:before="156" w:beforeLines="50" w:after="156" w:afterLines="50" w:line="360" w:lineRule="auto"/>
        <w:ind w:firstLine="4800" w:firstLineChars="2000"/>
        <w:jc w:val="right"/>
        <w:rPr>
          <w:rFonts w:hint="eastAsia" w:ascii="Arial" w:hAnsi="Arial"/>
          <w:color w:val="000000"/>
          <w:sz w:val="24"/>
          <w:highlight w:val="none"/>
        </w:rPr>
      </w:pPr>
      <w:r>
        <w:rPr>
          <w:rFonts w:hint="eastAsia" w:ascii="Arial" w:hAnsi="Arial"/>
          <w:color w:val="000000"/>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r>
        <w:rPr>
          <w:rFonts w:hint="eastAsia" w:ascii="宋体" w:hAnsi="宋体" w:eastAsia="宋体" w:cs="黑体"/>
          <w:b/>
          <w:bCs/>
          <w:color w:val="000000"/>
          <w:sz w:val="24"/>
          <w:highlight w:val="none"/>
        </w:rPr>
        <w:t>销售机构签章</w:t>
      </w:r>
      <w:r>
        <w:rPr>
          <w:rFonts w:hint="eastAsia" w:ascii="宋体" w:hAnsi="宋体" w:eastAsia="宋体" w:cs="黑体"/>
          <w:b/>
          <w:bCs/>
          <w:color w:val="00000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color w:val="000000"/>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1">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
    <w:nsid w:val="8906C252"/>
    <w:multiLevelType w:val="singleLevel"/>
    <w:tmpl w:val="8906C252"/>
    <w:lvl w:ilvl="0" w:tentative="0">
      <w:start w:val="1"/>
      <w:numFmt w:val="decimal"/>
      <w:suff w:val="nothing"/>
      <w:lvlText w:val="（%1）"/>
      <w:lvlJc w:val="left"/>
      <w:rPr>
        <w:rFonts w:hint="default"/>
        <w:b w:val="0"/>
        <w:bCs w:val="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8">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19">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0">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1">
    <w:nsid w:val="D8D75090"/>
    <w:multiLevelType w:val="singleLevel"/>
    <w:tmpl w:val="D8D75090"/>
    <w:lvl w:ilvl="0" w:tentative="0">
      <w:start w:val="1"/>
      <w:numFmt w:val="decimal"/>
      <w:suff w:val="nothing"/>
      <w:lvlText w:val="（%1）"/>
      <w:lvlJc w:val="left"/>
      <w:rPr>
        <w:rFonts w:hint="default"/>
        <w:b w:val="0"/>
        <w:bCs w:val="0"/>
      </w:rPr>
    </w:lvl>
  </w:abstractNum>
  <w:abstractNum w:abstractNumId="22">
    <w:nsid w:val="DD2251DF"/>
    <w:multiLevelType w:val="singleLevel"/>
    <w:tmpl w:val="DD2251DF"/>
    <w:lvl w:ilvl="0" w:tentative="0">
      <w:start w:val="1"/>
      <w:numFmt w:val="decimal"/>
      <w:suff w:val="nothing"/>
      <w:lvlText w:val="（%1）"/>
      <w:lvlJc w:val="left"/>
      <w:rPr>
        <w:rFonts w:hint="default"/>
        <w:b w:val="0"/>
        <w:bCs w:val="0"/>
      </w:rPr>
    </w:lvl>
  </w:abstractNum>
  <w:abstractNum w:abstractNumId="23">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4">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25">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26">
    <w:nsid w:val="F574F5B6"/>
    <w:multiLevelType w:val="singleLevel"/>
    <w:tmpl w:val="F574F5B6"/>
    <w:lvl w:ilvl="0" w:tentative="0">
      <w:start w:val="1"/>
      <w:numFmt w:val="decimal"/>
      <w:suff w:val="nothing"/>
      <w:lvlText w:val="（%1）"/>
      <w:lvlJc w:val="left"/>
    </w:lvl>
  </w:abstractNum>
  <w:abstractNum w:abstractNumId="27">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28">
    <w:nsid w:val="FE7FCF71"/>
    <w:multiLevelType w:val="multilevel"/>
    <w:tmpl w:val="FE7FCF71"/>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9">
    <w:nsid w:val="FED6883F"/>
    <w:multiLevelType w:val="multilevel"/>
    <w:tmpl w:val="FED6883F"/>
    <w:lvl w:ilvl="0" w:tentative="0">
      <w:start w:val="1"/>
      <w:numFmt w:val="chineseCounting"/>
      <w:suff w:val="nothing"/>
      <w:lvlText w:val="（%1）"/>
      <w:lvlJc w:val="left"/>
      <w:pPr>
        <w:ind w:left="0" w:firstLine="420"/>
      </w:pPr>
      <w:rPr>
        <w:rFonts w:hint="eastAsia" w:ascii="宋体" w:hAnsi="宋体" w:eastAsia="宋体" w:cs="宋体"/>
        <w:color w:val="000000"/>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0">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1">
    <w:nsid w:val="084A6179"/>
    <w:multiLevelType w:val="singleLevel"/>
    <w:tmpl w:val="084A6179"/>
    <w:lvl w:ilvl="0" w:tentative="0">
      <w:start w:val="1"/>
      <w:numFmt w:val="decimal"/>
      <w:suff w:val="nothing"/>
      <w:lvlText w:val="（%1）"/>
      <w:lvlJc w:val="left"/>
      <w:rPr>
        <w:rFonts w:hint="default"/>
        <w:highlight w:val="none"/>
      </w:rPr>
    </w:lvl>
  </w:abstractNum>
  <w:abstractNum w:abstractNumId="32">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34">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5">
    <w:nsid w:val="167B0BB4"/>
    <w:multiLevelType w:val="singleLevel"/>
    <w:tmpl w:val="167B0BB4"/>
    <w:lvl w:ilvl="0" w:tentative="0">
      <w:start w:val="1"/>
      <w:numFmt w:val="decimal"/>
      <w:suff w:val="nothing"/>
      <w:lvlText w:val="（%1）"/>
      <w:lvlJc w:val="left"/>
    </w:lvl>
  </w:abstractNum>
  <w:abstractNum w:abstractNumId="36">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7">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38">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3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4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4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4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4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4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4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4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4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49">
    <w:nsid w:val="597D161E"/>
    <w:multiLevelType w:val="multilevel"/>
    <w:tmpl w:val="597D161E"/>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5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5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5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5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5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5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5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5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5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6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6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6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6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64">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6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6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6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6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6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70">
    <w:nsid w:val="68F6C37C"/>
    <w:multiLevelType w:val="singleLevel"/>
    <w:tmpl w:val="68F6C37C"/>
    <w:lvl w:ilvl="0" w:tentative="0">
      <w:start w:val="1"/>
      <w:numFmt w:val="decimal"/>
      <w:lvlText w:val="%1."/>
      <w:lvlJc w:val="left"/>
      <w:pPr>
        <w:tabs>
          <w:tab w:val="left" w:pos="312"/>
        </w:tabs>
      </w:pPr>
      <w:rPr>
        <w:rFonts w:hint="default"/>
        <w:highlight w:val="none"/>
      </w:rPr>
    </w:lvl>
  </w:abstractNum>
  <w:abstractNum w:abstractNumId="7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7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7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abstractNum w:abstractNumId="74">
    <w:nsid w:val="7FFF73E0"/>
    <w:multiLevelType w:val="multilevel"/>
    <w:tmpl w:val="7FFF73E0"/>
    <w:lvl w:ilvl="0" w:tentative="0">
      <w:start w:val="1"/>
      <w:numFmt w:val="decimal"/>
      <w:suff w:val="space"/>
      <w:lvlText w:val="%1."/>
      <w:lvlJc w:val="left"/>
      <w:pPr>
        <w:ind w:left="0" w:firstLine="0"/>
      </w:pPr>
      <w:rPr>
        <w:rFonts w:hint="default" w:ascii="Times New Roman" w:hAnsi="Times New Roman" w:cs="Times New Roman"/>
        <w:color w:val="000000"/>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4"/>
  </w:num>
  <w:num w:numId="2">
    <w:abstractNumId w:val="0"/>
  </w:num>
  <w:num w:numId="3">
    <w:abstractNumId w:val="42"/>
  </w:num>
  <w:num w:numId="4">
    <w:abstractNumId w:val="37"/>
  </w:num>
  <w:num w:numId="5">
    <w:abstractNumId w:val="29"/>
  </w:num>
  <w:num w:numId="6">
    <w:abstractNumId w:val="49"/>
  </w:num>
  <w:num w:numId="7">
    <w:abstractNumId w:val="72"/>
  </w:num>
  <w:num w:numId="8">
    <w:abstractNumId w:val="32"/>
  </w:num>
  <w:num w:numId="9">
    <w:abstractNumId w:val="73"/>
  </w:num>
  <w:num w:numId="10">
    <w:abstractNumId w:val="74"/>
  </w:num>
  <w:num w:numId="11">
    <w:abstractNumId w:val="47"/>
  </w:num>
  <w:num w:numId="12">
    <w:abstractNumId w:val="44"/>
  </w:num>
  <w:num w:numId="13">
    <w:abstractNumId w:val="27"/>
  </w:num>
  <w:num w:numId="14">
    <w:abstractNumId w:val="25"/>
  </w:num>
  <w:num w:numId="15">
    <w:abstractNumId w:val="33"/>
  </w:num>
  <w:num w:numId="16">
    <w:abstractNumId w:val="24"/>
  </w:num>
  <w:num w:numId="17">
    <w:abstractNumId w:val="19"/>
  </w:num>
  <w:num w:numId="18">
    <w:abstractNumId w:val="11"/>
  </w:num>
  <w:num w:numId="19">
    <w:abstractNumId w:val="8"/>
  </w:num>
  <w:num w:numId="20">
    <w:abstractNumId w:val="9"/>
  </w:num>
  <w:num w:numId="21">
    <w:abstractNumId w:val="7"/>
  </w:num>
  <w:num w:numId="22">
    <w:abstractNumId w:val="70"/>
  </w:num>
  <w:num w:numId="23">
    <w:abstractNumId w:val="5"/>
  </w:num>
  <w:num w:numId="24">
    <w:abstractNumId w:val="1"/>
  </w:num>
  <w:num w:numId="25">
    <w:abstractNumId w:val="43"/>
  </w:num>
  <w:num w:numId="26">
    <w:abstractNumId w:val="26"/>
  </w:num>
  <w:num w:numId="27">
    <w:abstractNumId w:val="18"/>
  </w:num>
  <w:num w:numId="28">
    <w:abstractNumId w:val="38"/>
  </w:num>
  <w:num w:numId="29">
    <w:abstractNumId w:val="20"/>
  </w:num>
  <w:num w:numId="30">
    <w:abstractNumId w:val="6"/>
  </w:num>
  <w:num w:numId="31">
    <w:abstractNumId w:val="46"/>
  </w:num>
  <w:num w:numId="32">
    <w:abstractNumId w:val="4"/>
  </w:num>
  <w:num w:numId="33">
    <w:abstractNumId w:val="31"/>
  </w:num>
  <w:num w:numId="34">
    <w:abstractNumId w:val="36"/>
  </w:num>
  <w:num w:numId="35">
    <w:abstractNumId w:val="71"/>
  </w:num>
  <w:num w:numId="36">
    <w:abstractNumId w:val="30"/>
  </w:num>
  <w:num w:numId="37">
    <w:abstractNumId w:val="22"/>
  </w:num>
  <w:num w:numId="38">
    <w:abstractNumId w:val="41"/>
  </w:num>
  <w:num w:numId="39">
    <w:abstractNumId w:val="2"/>
  </w:num>
  <w:num w:numId="40">
    <w:abstractNumId w:val="23"/>
  </w:num>
  <w:num w:numId="41">
    <w:abstractNumId w:val="28"/>
  </w:num>
  <w:num w:numId="42">
    <w:abstractNumId w:val="45"/>
  </w:num>
  <w:num w:numId="43">
    <w:abstractNumId w:val="34"/>
  </w:num>
  <w:num w:numId="44">
    <w:abstractNumId w:val="17"/>
  </w:num>
  <w:num w:numId="45">
    <w:abstractNumId w:val="48"/>
  </w:num>
  <w:num w:numId="46">
    <w:abstractNumId w:val="12"/>
  </w:num>
  <w:num w:numId="47">
    <w:abstractNumId w:val="10"/>
  </w:num>
  <w:num w:numId="48">
    <w:abstractNumId w:val="13"/>
  </w:num>
  <w:num w:numId="49">
    <w:abstractNumId w:val="35"/>
  </w:num>
  <w:num w:numId="50">
    <w:abstractNumId w:val="21"/>
  </w:num>
  <w:num w:numId="51">
    <w:abstractNumId w:val="3"/>
  </w:num>
  <w:num w:numId="52">
    <w:abstractNumId w:val="40"/>
  </w:num>
  <w:num w:numId="53">
    <w:abstractNumId w:val="57"/>
  </w:num>
  <w:num w:numId="54">
    <w:abstractNumId w:val="56"/>
  </w:num>
  <w:num w:numId="55">
    <w:abstractNumId w:val="58"/>
  </w:num>
  <w:num w:numId="56">
    <w:abstractNumId w:val="59"/>
  </w:num>
  <w:num w:numId="57">
    <w:abstractNumId w:val="60"/>
  </w:num>
  <w:num w:numId="58">
    <w:abstractNumId w:val="61"/>
  </w:num>
  <w:num w:numId="59">
    <w:abstractNumId w:val="62"/>
  </w:num>
  <w:num w:numId="60">
    <w:abstractNumId w:val="63"/>
  </w:num>
  <w:num w:numId="61">
    <w:abstractNumId w:val="39"/>
  </w:num>
  <w:num w:numId="62">
    <w:abstractNumId w:val="16"/>
  </w:num>
  <w:num w:numId="63">
    <w:abstractNumId w:val="50"/>
  </w:num>
  <w:num w:numId="64">
    <w:abstractNumId w:val="51"/>
  </w:num>
  <w:num w:numId="65">
    <w:abstractNumId w:val="52"/>
  </w:num>
  <w:num w:numId="66">
    <w:abstractNumId w:val="53"/>
  </w:num>
  <w:num w:numId="67">
    <w:abstractNumId w:val="54"/>
  </w:num>
  <w:num w:numId="68">
    <w:abstractNumId w:val="55"/>
  </w:num>
  <w:num w:numId="69">
    <w:abstractNumId w:val="64"/>
  </w:num>
  <w:num w:numId="70">
    <w:abstractNumId w:val="65"/>
  </w:num>
  <w:num w:numId="71">
    <w:abstractNumId w:val="15"/>
  </w:num>
  <w:num w:numId="72">
    <w:abstractNumId w:val="66"/>
  </w:num>
  <w:num w:numId="73">
    <w:abstractNumId w:val="67"/>
  </w:num>
  <w:num w:numId="74">
    <w:abstractNumId w:val="68"/>
  </w:num>
  <w:num w:numId="75">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BB08DA"/>
    <w:rsid w:val="17EA7887"/>
    <w:rsid w:val="18321B09"/>
    <w:rsid w:val="18616AA2"/>
    <w:rsid w:val="191F0F43"/>
    <w:rsid w:val="19E235E1"/>
    <w:rsid w:val="1A7E4CCF"/>
    <w:rsid w:val="1BCD72C9"/>
    <w:rsid w:val="1BFB7C22"/>
    <w:rsid w:val="1C09008C"/>
    <w:rsid w:val="1D0817CE"/>
    <w:rsid w:val="1E635082"/>
    <w:rsid w:val="1F0F7AA5"/>
    <w:rsid w:val="1F7FC040"/>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7DD240"/>
    <w:rsid w:val="28F73A05"/>
    <w:rsid w:val="29E223F6"/>
    <w:rsid w:val="2A7A79DE"/>
    <w:rsid w:val="2B5C1F0C"/>
    <w:rsid w:val="2BD054E2"/>
    <w:rsid w:val="2EAD6691"/>
    <w:rsid w:val="2F0D25D9"/>
    <w:rsid w:val="2FD7FF98"/>
    <w:rsid w:val="3086176D"/>
    <w:rsid w:val="30B73891"/>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7F23197"/>
    <w:rsid w:val="394B6E53"/>
    <w:rsid w:val="3B1C12F3"/>
    <w:rsid w:val="3BD53B5C"/>
    <w:rsid w:val="3CC57F13"/>
    <w:rsid w:val="3D4C282D"/>
    <w:rsid w:val="3D970F4E"/>
    <w:rsid w:val="3DCFC59A"/>
    <w:rsid w:val="3DE106C6"/>
    <w:rsid w:val="3E540971"/>
    <w:rsid w:val="3E786275"/>
    <w:rsid w:val="3E931F0D"/>
    <w:rsid w:val="3F7E2660"/>
    <w:rsid w:val="3FA31FDD"/>
    <w:rsid w:val="3FBF6D08"/>
    <w:rsid w:val="3FED5371"/>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CC51C60"/>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C664A4B"/>
    <w:rsid w:val="5CE67D31"/>
    <w:rsid w:val="5E5F4050"/>
    <w:rsid w:val="5F04726A"/>
    <w:rsid w:val="5F6D37D2"/>
    <w:rsid w:val="5F9C081D"/>
    <w:rsid w:val="5FED5180"/>
    <w:rsid w:val="5FFB426B"/>
    <w:rsid w:val="5FFFB2B7"/>
    <w:rsid w:val="606677EA"/>
    <w:rsid w:val="60F34C3C"/>
    <w:rsid w:val="60F701E1"/>
    <w:rsid w:val="617668BD"/>
    <w:rsid w:val="61D01645"/>
    <w:rsid w:val="63723353"/>
    <w:rsid w:val="63FB4702"/>
    <w:rsid w:val="64164D78"/>
    <w:rsid w:val="64993141"/>
    <w:rsid w:val="659F27EB"/>
    <w:rsid w:val="659F600E"/>
    <w:rsid w:val="65FB5398"/>
    <w:rsid w:val="67CE6661"/>
    <w:rsid w:val="680A5A06"/>
    <w:rsid w:val="68B9403E"/>
    <w:rsid w:val="68D511B9"/>
    <w:rsid w:val="68FA6041"/>
    <w:rsid w:val="69827CEE"/>
    <w:rsid w:val="6BDE71F2"/>
    <w:rsid w:val="6C9577EB"/>
    <w:rsid w:val="6CBA3A99"/>
    <w:rsid w:val="6D3A1203"/>
    <w:rsid w:val="6DB5A206"/>
    <w:rsid w:val="6DFE35A5"/>
    <w:rsid w:val="6E9C369D"/>
    <w:rsid w:val="6EF41B11"/>
    <w:rsid w:val="6EF79B63"/>
    <w:rsid w:val="6FF79273"/>
    <w:rsid w:val="702573F3"/>
    <w:rsid w:val="70B57531"/>
    <w:rsid w:val="70FA499F"/>
    <w:rsid w:val="730C182D"/>
    <w:rsid w:val="7377A39E"/>
    <w:rsid w:val="73F5BB6D"/>
    <w:rsid w:val="73FC9A3F"/>
    <w:rsid w:val="751974A1"/>
    <w:rsid w:val="758B30E4"/>
    <w:rsid w:val="75F42331"/>
    <w:rsid w:val="75FF1C0A"/>
    <w:rsid w:val="761F7C3C"/>
    <w:rsid w:val="76683D2A"/>
    <w:rsid w:val="76C62D9E"/>
    <w:rsid w:val="76DF52A4"/>
    <w:rsid w:val="77FA47C2"/>
    <w:rsid w:val="78244617"/>
    <w:rsid w:val="7A923507"/>
    <w:rsid w:val="7AAFF850"/>
    <w:rsid w:val="7ACB640D"/>
    <w:rsid w:val="7BFF1A29"/>
    <w:rsid w:val="7C044D89"/>
    <w:rsid w:val="7C63442B"/>
    <w:rsid w:val="7D3AA22F"/>
    <w:rsid w:val="7D9F2F3F"/>
    <w:rsid w:val="7DC783FB"/>
    <w:rsid w:val="7DE35ECA"/>
    <w:rsid w:val="7DF186E2"/>
    <w:rsid w:val="7E1A0C5A"/>
    <w:rsid w:val="7E3212D3"/>
    <w:rsid w:val="7E7F7BE9"/>
    <w:rsid w:val="7EFF9EC8"/>
    <w:rsid w:val="7EFFF434"/>
    <w:rsid w:val="7F5F887D"/>
    <w:rsid w:val="7F9FC635"/>
    <w:rsid w:val="7FCC7D05"/>
    <w:rsid w:val="7FEF42B8"/>
    <w:rsid w:val="7FEFE414"/>
    <w:rsid w:val="7FF2B36D"/>
    <w:rsid w:val="7FF39E9A"/>
    <w:rsid w:val="7FFB28EC"/>
    <w:rsid w:val="7FFF0685"/>
    <w:rsid w:val="7FFF94DC"/>
    <w:rsid w:val="84392690"/>
    <w:rsid w:val="9FD01BC3"/>
    <w:rsid w:val="9FDF7357"/>
    <w:rsid w:val="B3FE25BF"/>
    <w:rsid w:val="BACFB3F4"/>
    <w:rsid w:val="BE6E0F8F"/>
    <w:rsid w:val="BF301657"/>
    <w:rsid w:val="BFA721BB"/>
    <w:rsid w:val="BFDF2F19"/>
    <w:rsid w:val="C679D4D5"/>
    <w:rsid w:val="C7EFAC2C"/>
    <w:rsid w:val="CC4512C4"/>
    <w:rsid w:val="CEEAB172"/>
    <w:rsid w:val="CFBD1285"/>
    <w:rsid w:val="D1EFF677"/>
    <w:rsid w:val="D3FFF2E3"/>
    <w:rsid w:val="D4B948F0"/>
    <w:rsid w:val="D76FBC03"/>
    <w:rsid w:val="D7BE90C3"/>
    <w:rsid w:val="DFFBF81E"/>
    <w:rsid w:val="E2F2C526"/>
    <w:rsid w:val="E4FFD666"/>
    <w:rsid w:val="E5D7501E"/>
    <w:rsid w:val="E7F7B356"/>
    <w:rsid w:val="E9F39395"/>
    <w:rsid w:val="E9FFA600"/>
    <w:rsid w:val="EBF5BECB"/>
    <w:rsid w:val="ED6EA22C"/>
    <w:rsid w:val="EE2FCBAA"/>
    <w:rsid w:val="EEFF0FFF"/>
    <w:rsid w:val="F3F331A4"/>
    <w:rsid w:val="F3FF81F7"/>
    <w:rsid w:val="F47FEAE3"/>
    <w:rsid w:val="F5DBF1C3"/>
    <w:rsid w:val="F5E5AD98"/>
    <w:rsid w:val="F6D74091"/>
    <w:rsid w:val="F7EF100D"/>
    <w:rsid w:val="F7FE62B6"/>
    <w:rsid w:val="F8ADBDD7"/>
    <w:rsid w:val="FA543BA3"/>
    <w:rsid w:val="FD7F9463"/>
    <w:rsid w:val="FDFD4F0C"/>
    <w:rsid w:val="FEAED78B"/>
    <w:rsid w:val="FF3E6B15"/>
    <w:rsid w:val="FF5D960F"/>
    <w:rsid w:val="FF7C7432"/>
    <w:rsid w:val="FFBE48B5"/>
    <w:rsid w:val="FFFE69D4"/>
    <w:rsid w:val="FFFFAA71"/>
    <w:rsid w:val="FFFFE02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uiPriority w:val="0"/>
    <w:rPr>
      <w:sz w:val="21"/>
      <w:szCs w:val="21"/>
    </w:rPr>
  </w:style>
  <w:style w:type="character" w:customStyle="1" w:styleId="13">
    <w:name w:val="批注文字 字符"/>
    <w:link w:val="2"/>
    <w:uiPriority w:val="0"/>
    <w:rPr>
      <w:rFonts w:ascii="Calibri" w:hAnsi="Calibri" w:cs="黑体"/>
      <w:kern w:val="2"/>
      <w:sz w:val="21"/>
      <w:szCs w:val="24"/>
    </w:rPr>
  </w:style>
  <w:style w:type="character" w:customStyle="1" w:styleId="14">
    <w:name w:val="批注框文本 字符"/>
    <w:link w:val="3"/>
    <w:uiPriority w:val="0"/>
    <w:rPr>
      <w:rFonts w:ascii="Calibri" w:hAnsi="Calibri" w:cs="黑体"/>
      <w:kern w:val="2"/>
      <w:sz w:val="18"/>
      <w:szCs w:val="18"/>
    </w:rPr>
  </w:style>
  <w:style w:type="character" w:customStyle="1" w:styleId="15">
    <w:name w:val="批注主题 字符"/>
    <w:link w:val="7"/>
    <w:uiPriority w:val="0"/>
    <w:rPr>
      <w:rFonts w:ascii="Calibri" w:hAnsi="Calibri" w:cs="黑体"/>
      <w:b/>
      <w:bCs/>
      <w:kern w:val="2"/>
      <w:sz w:val="21"/>
      <w:szCs w:val="24"/>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uiPriority w:val="0"/>
    <w:rPr>
      <w:rFonts w:ascii="Calibri" w:hAnsi="Calibri" w:cs="黑体"/>
      <w:kern w:val="2"/>
      <w:sz w:val="21"/>
      <w:szCs w:val="24"/>
    </w:rPr>
  </w:style>
  <w:style w:type="character" w:customStyle="1" w:styleId="19">
    <w:name w:val="批注主题 Char"/>
    <w:link w:val="7"/>
    <w:uiPriority w:val="0"/>
    <w:rPr>
      <w:rFonts w:ascii="Calibri" w:hAnsi="Calibri" w:cs="黑体"/>
      <w:b/>
      <w:bCs/>
      <w:kern w:val="2"/>
      <w:sz w:val="21"/>
      <w:szCs w:val="24"/>
    </w:rPr>
  </w:style>
  <w:style w:type="character" w:customStyle="1" w:styleId="20">
    <w:name w:val="批注框文本 Char"/>
    <w:link w:val="3"/>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74</Pages>
  <Words>49382</Words>
  <Characters>56157</Characters>
  <Lines>1</Lines>
  <Paragraphs>1</Paragraphs>
  <TotalTime>0</TotalTime>
  <ScaleCrop>false</ScaleCrop>
  <LinksUpToDate>false</LinksUpToDate>
  <CharactersWithSpaces>56687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2014-11-10T04:08:00Z</dcterms:created>
  <dc:creator>Administrator</dc:creator>
  <cp:lastModifiedBy>hccb</cp:lastModifiedBy>
  <dcterms:modified xsi:type="dcterms:W3CDTF">2026-09-10T07:14:23Z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D5BB84ACB92B67C0B12B9E6A65F9A4D4_43</vt:lpwstr>
  </property>
  <property fmtid="{D5CDD505-2E9C-101B-9397-08002B2CF9AE}" pid="3" name="KSOProductBuildVer">
    <vt:lpwstr>2052-11.8.2.8411</vt:lpwstr>
  </property>
</Properties>
</file>