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jc w:val="center"/>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杭银理财幸福99季添益1910期理财</w:t>
      </w:r>
      <w:r>
        <w:rPr>
          <w:rFonts w:hint="eastAsia" w:ascii="宋体" w:hAnsi="宋体" w:cs="宋体"/>
          <w:b/>
          <w:bCs/>
          <w:color w:val="000000"/>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杭州银行股份有限公司</w:t>
      </w:r>
    </w:p>
    <w:p>
      <w:pPr>
        <w:ind w:firstLine="1280" w:firstLineChars="400"/>
        <w:jc w:val="left"/>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rPr>
          <w:rFonts w:hint="eastAsia" w:ascii="宋体" w:hAnsi="宋体" w:cs="宋体"/>
          <w:b/>
          <w:bCs/>
          <w:sz w:val="44"/>
          <w:szCs w:val="44"/>
          <w:highlight w:val="none"/>
        </w:rPr>
      </w:pPr>
    </w:p>
    <w:p>
      <w:pPr>
        <w:jc w:val="center"/>
        <w:outlineLvl w:val="9"/>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杭银理财幸福99季添益1910期理财</w:t>
      </w:r>
      <w:r>
        <w:rPr>
          <w:rFonts w:hint="eastAsia" w:ascii="宋体" w:hAnsi="宋体" w:cs="宋体"/>
          <w:b/>
          <w:bCs/>
          <w:color w:val="000000"/>
          <w:sz w:val="44"/>
          <w:szCs w:val="44"/>
          <w:highlight w:val="none"/>
        </w:rPr>
        <w:t>合同文件</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tbl>
      <w:tblPr>
        <w:tblStyle w:val="11"/>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4935"/>
        <w:gridCol w:w="2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序号</w:t>
            </w:r>
          </w:p>
        </w:tc>
        <w:tc>
          <w:tcPr>
            <w:tcW w:w="493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理财计划合同文件中的文件名称</w:t>
            </w:r>
          </w:p>
        </w:tc>
        <w:tc>
          <w:tcPr>
            <w:tcW w:w="249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leftChars="0" w:right="0" w:firstLine="0" w:firstLineChars="0"/>
              <w:jc w:val="center"/>
              <w:rPr>
                <w:rFonts w:hint="eastAsia" w:ascii="宋体" w:hAnsi="宋体" w:eastAsia="宋体" w:cs="宋体"/>
                <w:color w:val="000000"/>
                <w:szCs w:val="21"/>
                <w:highlight w:val="none"/>
                <w:lang w:eastAsia="zh"/>
              </w:rPr>
            </w:pPr>
            <w:r>
              <w:rPr>
                <w:rFonts w:hint="eastAsia" w:ascii="宋体" w:hAnsi="宋体" w:cs="宋体"/>
                <w:color w:val="000000"/>
                <w:szCs w:val="21"/>
                <w:highlight w:val="none"/>
                <w:lang w:eastAsia="zh"/>
              </w:rPr>
              <w:t>1</w:t>
            </w:r>
          </w:p>
        </w:tc>
        <w:tc>
          <w:tcPr>
            <w:tcW w:w="4935" w:type="dxa"/>
            <w:noWrap w:val="0"/>
            <w:vAlign w:val="center"/>
          </w:tcPr>
          <w:p>
            <w:pPr>
              <w:keepNext w:val="0"/>
              <w:keepLines w:val="0"/>
              <w:suppressLineNumbers w:val="0"/>
              <w:spacing w:before="0" w:beforeAutospacing="0" w:after="0" w:afterAutospacing="0" w:line="360" w:lineRule="auto"/>
              <w:ind w:left="0" w:leftChars="0" w:right="0" w:firstLine="0" w:firstLineChars="0"/>
              <w:jc w:val="left"/>
              <w:rPr>
                <w:rFonts w:hint="eastAsia" w:ascii="宋体" w:hAnsi="宋体" w:eastAsia="宋体" w:cs="宋体"/>
                <w:color w:val="000000"/>
                <w:kern w:val="2"/>
                <w:sz w:val="21"/>
                <w:szCs w:val="21"/>
                <w:highlight w:val="none"/>
                <w:lang w:val="en-US" w:eastAsia="zh" w:bidi="ar-SA"/>
              </w:rPr>
            </w:pPr>
            <w:r>
              <w:rPr>
                <w:rFonts w:hint="eastAsia" w:ascii="宋体" w:hAnsi="宋体" w:eastAsia="宋体" w:cs="宋体"/>
                <w:color w:val="000000"/>
                <w:kern w:val="2"/>
                <w:sz w:val="21"/>
                <w:szCs w:val="21"/>
                <w:highlight w:val="none"/>
                <w:lang w:val="en-US" w:eastAsia="zh-CN" w:bidi="ar-SA"/>
              </w:rPr>
              <w:t>杭银理财幸福99季添益1910期理财</w:t>
            </w:r>
            <w:r>
              <w:rPr>
                <w:rFonts w:hint="eastAsia" w:ascii="宋体" w:hAnsi="宋体" w:cs="宋体"/>
                <w:color w:val="000000"/>
                <w:kern w:val="2"/>
                <w:sz w:val="21"/>
                <w:szCs w:val="21"/>
                <w:highlight w:val="none"/>
                <w:lang w:val="en-US" w:eastAsia="zh" w:bidi="ar-SA"/>
              </w:rPr>
              <w:t>产品说明书关键要素</w:t>
            </w:r>
          </w:p>
        </w:tc>
        <w:tc>
          <w:tcPr>
            <w:tcW w:w="2491" w:type="dxa"/>
            <w:noWrap w:val="0"/>
            <w:vAlign w:val="center"/>
          </w:tcPr>
          <w:p>
            <w:pPr>
              <w:keepNext w:val="0"/>
              <w:keepLines w:val="0"/>
              <w:suppressLineNumbers w:val="0"/>
              <w:spacing w:before="0" w:beforeAutospacing="0" w:after="0" w:afterAutospacing="0" w:line="360" w:lineRule="auto"/>
              <w:ind w:left="0" w:leftChars="0" w:right="0" w:firstLine="0" w:firstLineChars="0"/>
              <w:jc w:val="center"/>
              <w:rPr>
                <w:rFonts w:hint="eastAsia" w:ascii="宋体" w:hAnsi="宋体" w:eastAsia="宋体" w:cs="宋体"/>
                <w:color w:val="000000"/>
                <w:szCs w:val="21"/>
                <w:highlight w:val="none"/>
                <w:lang w:eastAsia="zh"/>
              </w:rPr>
            </w:pPr>
            <w:r>
              <w:rPr>
                <w:rFonts w:hint="eastAsia" w:ascii="宋体" w:hAnsi="宋体" w:cs="宋体"/>
                <w:color w:val="000000"/>
                <w:szCs w:val="21"/>
                <w:highlight w:val="none"/>
                <w:lang w:eastAsia="zh"/>
              </w:rPr>
              <w:t>理财计划产品关键要素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
              </w:rPr>
            </w:pPr>
            <w:r>
              <w:rPr>
                <w:rFonts w:hint="eastAsia" w:ascii="宋体" w:hAnsi="宋体" w:cs="宋体"/>
                <w:szCs w:val="21"/>
                <w:highlight w:val="none"/>
                <w:lang w:eastAsia="zh"/>
              </w:rPr>
              <w:t>2</w:t>
            </w:r>
          </w:p>
        </w:tc>
        <w:tc>
          <w:tcPr>
            <w:tcW w:w="4935"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color w:val="000000"/>
                <w:kern w:val="2"/>
                <w:sz w:val="21"/>
                <w:szCs w:val="21"/>
                <w:highlight w:val="none"/>
                <w:lang w:val="en-US" w:eastAsia="zh-CN" w:bidi="ar-SA"/>
              </w:rPr>
              <w:t>杭银理财幸福99季添益1910期理财</w:t>
            </w:r>
            <w:r>
              <w:rPr>
                <w:rFonts w:hint="eastAsia" w:ascii="宋体" w:hAnsi="宋体" w:cs="宋体"/>
                <w:color w:val="000000"/>
                <w:szCs w:val="21"/>
                <w:highlight w:val="none"/>
              </w:rPr>
              <w:t>风险揭示书</w:t>
            </w:r>
          </w:p>
        </w:tc>
        <w:tc>
          <w:tcPr>
            <w:tcW w:w="249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
              </w:rPr>
            </w:pPr>
            <w:r>
              <w:rPr>
                <w:rFonts w:hint="eastAsia" w:ascii="宋体" w:hAnsi="宋体" w:cs="宋体"/>
                <w:szCs w:val="21"/>
                <w:highlight w:val="none"/>
                <w:lang w:eastAsia="zh"/>
              </w:rPr>
              <w:t>3</w:t>
            </w:r>
          </w:p>
        </w:tc>
        <w:tc>
          <w:tcPr>
            <w:tcW w:w="4935"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szCs w:val="21"/>
                <w:highlight w:val="none"/>
              </w:rPr>
            </w:pPr>
            <w:r>
              <w:rPr>
                <w:rFonts w:hint="eastAsia" w:ascii="宋体" w:hAnsi="宋体" w:eastAsia="宋体" w:cs="宋体"/>
                <w:color w:val="000000"/>
                <w:kern w:val="2"/>
                <w:sz w:val="21"/>
                <w:szCs w:val="21"/>
                <w:highlight w:val="none"/>
                <w:lang w:val="en-US" w:eastAsia="zh-CN" w:bidi="ar-SA"/>
              </w:rPr>
              <w:t>杭银理财幸福99季添益1910期理财</w:t>
            </w:r>
            <w:r>
              <w:rPr>
                <w:rFonts w:hint="eastAsia" w:ascii="宋体" w:hAnsi="宋体" w:cs="宋体"/>
                <w:color w:val="000000"/>
                <w:szCs w:val="21"/>
                <w:highlight w:val="none"/>
              </w:rPr>
              <w:t>产品说明书</w:t>
            </w:r>
          </w:p>
        </w:tc>
        <w:tc>
          <w:tcPr>
            <w:tcW w:w="249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
              </w:rPr>
            </w:pPr>
            <w:r>
              <w:rPr>
                <w:rFonts w:hint="eastAsia" w:ascii="宋体" w:hAnsi="宋体" w:cs="宋体"/>
                <w:szCs w:val="21"/>
                <w:highlight w:val="none"/>
                <w:lang w:eastAsia="zh"/>
              </w:rPr>
              <w:t>4</w:t>
            </w:r>
          </w:p>
        </w:tc>
        <w:tc>
          <w:tcPr>
            <w:tcW w:w="4935"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杭银理财投资者权益须知</w:t>
            </w:r>
          </w:p>
        </w:tc>
        <w:tc>
          <w:tcPr>
            <w:tcW w:w="249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
              </w:rPr>
            </w:pPr>
            <w:r>
              <w:rPr>
                <w:rFonts w:hint="eastAsia" w:ascii="宋体" w:hAnsi="宋体" w:cs="宋体"/>
                <w:szCs w:val="21"/>
                <w:highlight w:val="none"/>
                <w:lang w:eastAsia="zh"/>
              </w:rPr>
              <w:t>5</w:t>
            </w:r>
          </w:p>
        </w:tc>
        <w:tc>
          <w:tcPr>
            <w:tcW w:w="4935"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杭银理财理财计划投资协议书</w:t>
            </w:r>
          </w:p>
        </w:tc>
        <w:tc>
          <w:tcPr>
            <w:tcW w:w="249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highlight w:val="none"/>
                <w:lang w:eastAsia="zh"/>
              </w:rPr>
            </w:pPr>
            <w:r>
              <w:rPr>
                <w:rFonts w:hint="eastAsia" w:ascii="宋体" w:hAnsi="宋体" w:cs="宋体"/>
                <w:szCs w:val="21"/>
                <w:highlight w:val="none"/>
                <w:lang w:eastAsia="zh"/>
              </w:rPr>
              <w:t>6</w:t>
            </w:r>
          </w:p>
        </w:tc>
        <w:tc>
          <w:tcPr>
            <w:tcW w:w="4935"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color w:val="000000"/>
                <w:szCs w:val="21"/>
                <w:highlight w:val="none"/>
              </w:rPr>
              <w:t>杭银理财理财计划销售协议书</w:t>
            </w:r>
          </w:p>
        </w:tc>
        <w:tc>
          <w:tcPr>
            <w:tcW w:w="249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tbl>
      <w:tblPr>
        <w:tblStyle w:val="11"/>
        <w:tblW w:w="871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78"/>
        <w:gridCol w:w="703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44"/>
              </w:rPr>
              <w:t>理财产品说明书关键要素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sz w:val="21"/>
              </w:rPr>
              <w:t>本表格提供本理财产品的重要信息，是理财产品说明书的一部分。作出投资决定前，请阅读完整的理财产品说明书等销售文件。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（一）理财产品基本信息</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产品登记编码</w:t>
            </w:r>
          </w:p>
        </w:tc>
        <w:tc>
          <w:tcPr>
            <w:tcW w:w="7036" w:type="dxa"/>
            <w:vAlign w:val="center"/>
          </w:tcPr>
          <w:p>
            <w:pPr>
              <w:jc w:val="center"/>
            </w:pPr>
            <w:r>
              <w:rPr>
                <w:rFonts w:ascii="宋体" w:hAnsi="宋体" w:eastAsia="宋体"/>
                <w:sz w:val="21"/>
              </w:rPr>
              <w:t>Z7002221000281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理财产品名称</w:t>
            </w:r>
          </w:p>
        </w:tc>
        <w:tc>
          <w:tcPr>
            <w:tcW w:w="7036" w:type="dxa"/>
            <w:vAlign w:val="center"/>
          </w:tcPr>
          <w:p>
            <w:pPr>
              <w:jc w:val="center"/>
            </w:pPr>
            <w:r>
              <w:rPr>
                <w:rFonts w:ascii="宋体" w:hAnsi="宋体" w:eastAsia="宋体"/>
                <w:sz w:val="21"/>
              </w:rPr>
              <w:t>杭银理财幸福99季添益1910期理财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份额代码</w:t>
            </w:r>
          </w:p>
        </w:tc>
        <w:tc>
          <w:tcPr>
            <w:tcW w:w="7036" w:type="dxa"/>
            <w:vAlign w:val="center"/>
          </w:tcPr>
          <w:p>
            <w:pPr>
              <w:jc w:val="left"/>
            </w:pPr>
            <w:r>
              <w:rPr>
                <w:rFonts w:ascii="宋体" w:hAnsi="宋体" w:eastAsia="宋体"/>
                <w:sz w:val="21"/>
              </w:rPr>
              <w:t>A份额：份额代码TYG3M1910；B份额：份额代码TYG3M1910B；C份额：份额代码TYG3M1910C</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发行机构名称</w:t>
            </w:r>
          </w:p>
        </w:tc>
        <w:tc>
          <w:tcPr>
            <w:tcW w:w="7036" w:type="dxa"/>
            <w:vAlign w:val="center"/>
          </w:tcPr>
          <w:p>
            <w:pPr>
              <w:jc w:val="center"/>
            </w:pPr>
            <w:r>
              <w:rPr>
                <w:rFonts w:ascii="宋体" w:hAnsi="宋体" w:eastAsia="宋体"/>
                <w:sz w:val="21"/>
              </w:rPr>
              <w:t>杭银理财有限责任公司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销售机构名称</w:t>
            </w:r>
          </w:p>
        </w:tc>
        <w:tc>
          <w:tcPr>
            <w:tcW w:w="7036" w:type="dxa"/>
            <w:vAlign w:val="center"/>
          </w:tcPr>
          <w:p>
            <w:pPr>
              <w:jc w:val="left"/>
            </w:pPr>
            <w:r>
              <w:rPr>
                <w:rFonts w:ascii="宋体" w:hAnsi="宋体" w:eastAsia="宋体"/>
                <w:sz w:val="21"/>
              </w:rPr>
              <w:t>杭州银行股份有限公司，杭银理财有限责任公司，东莞银行股份有限公司，东营银行股份有限公司，中信百信银行股份有限公司，中国邮政储蓄银行股份有限公司，中邮邮惠万家银行有限责任公司，九江银行股份有限公司，佛山农村商业银行股份有限公司，兴业银行股份有限公司，厦门国际银行股份有限公司，台州银行股份有限公司，吉林银行股份有限公司，四川新网银行股份有限公司，大连农村商业银行股份有限公司，宁夏银行股份有限公司，宁波北仑农村商业银行股份有限公司，宁波奉化农村商业银行股份有限公司，宁波宁海农村商业银行股份有限公司，宁波甬城农村商业银行股份有限公司，宁波象山农村商业银行股份有限公司，宁波鄞州农村商业银行股份有限公司，山西银行股份有限公司，广东南粤银行股份有限公司，广州农村商业银行股份有限公司，广州银行股份有限公司，德州银行股份有限公司，新韩银行（中国）有限公司，无锡锡商银行股份有限公司，日照银行股份有限公司，江苏常熟农村商业银行股份有限公司，江苏银行股份有限公司，泉州银行股份有限公司，浙商银行股份有限公司，浙江东阳农村商业银行股份有限公司，浙江临安农村商业银行股份有限公司，浙江丽水莲都农村商业银行股份有限公司，浙江乐清农村商业银行股份有限公司，浙江台州椒江农村商业银行股份有限公司，浙江台州路桥农村商业银行股份有限公司，浙江台州黄岩农村商业银行股份有限公司，浙江安吉农村商业银行股份有限公司，浙江嵊州农村商业银行股份有限公司，浙江常山农村商业银行股份有限公司，浙江开化农村商业银行股份有限公司，浙江文成农村商业银行股份有限公司，浙江新昌农村商业银行股份有限公司，浙江武义农村商业银行股份有限公司，浙江永嘉农村商业银行股份有限公司，浙江泰顺农村商业银行股份有限公司，浙江浦江农村商业银行股份有限公司，浙江温州瓯海农村商业银行股份有限公司，浙江绍兴恒信农村商业银行股份有限公司，浙江绍兴瑞丰农村商业银行股份有限公司，浙江舟山定海海洋农村商业银行股份有限公司，浙江苍南农村商业银行股份有限公司，浙江衢州衢江农村商业银行股份有限公司，浙江诸暨农村商业银行股份有限公司，浙江长兴农村商业银行股份有限公司，浙江青田农村商业银行股份有限公司，浙江龙游农村商业银行股份有限公司，海南银行股份有限公司，深圳前海微众银行股份有限公司，潍坊银行股份有限公司，澳门国际银行股份有限公司广州分行，盛京银行股份有限公司，石嘴山银行股份有限公司，绍兴银行股份有限公司，苏州银行股份有限公司，重庆富民银行股份有限公司，重庆银行股份有限公司，金华银行股份有限公司，齐鲁银行股份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境内托管机构名称</w:t>
            </w:r>
          </w:p>
        </w:tc>
        <w:tc>
          <w:tcPr>
            <w:tcW w:w="7036" w:type="dxa"/>
            <w:vAlign w:val="center"/>
          </w:tcPr>
          <w:p>
            <w:pPr>
              <w:jc w:val="center"/>
            </w:pPr>
            <w:r>
              <w:rPr>
                <w:rFonts w:ascii="宋体" w:hAnsi="宋体" w:eastAsia="宋体"/>
                <w:sz w:val="21"/>
              </w:rPr>
              <w:t>杭州银行股份有限公司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销售对象</w:t>
            </w:r>
          </w:p>
        </w:tc>
        <w:tc>
          <w:tcPr>
            <w:tcW w:w="7036" w:type="dxa"/>
            <w:vAlign w:val="center"/>
          </w:tcPr>
          <w:p>
            <w:pPr>
              <w:jc w:val="left"/>
            </w:pPr>
            <w:r>
              <w:rPr>
                <w:rFonts w:ascii="宋体" w:hAnsi="宋体" w:eastAsia="宋体"/>
                <w:sz w:val="21"/>
              </w:rPr>
              <w:t>A份额（销售代码〖TYG3M1910〗）：普通个人投资者和机构客户。</w:t>
            </w:r>
          </w:p>
          <w:p>
            <w:r>
              <w:rPr>
                <w:rFonts w:ascii="宋体" w:hAnsi="宋体" w:eastAsia="宋体"/>
                <w:sz w:val="21"/>
              </w:rPr>
              <w:t>B份额（销售代码〖TYG3M1910B〗）：高净值等特邀客户专属。</w:t>
            </w:r>
          </w:p>
          <w:p>
            <w:r>
              <w:rPr>
                <w:rFonts w:ascii="宋体" w:hAnsi="宋体" w:eastAsia="宋体"/>
                <w:sz w:val="21"/>
              </w:rPr>
              <w:t>C份额（销售代码〖TYG3M1910C〗）：特定客群专属。</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（二）交易规则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募集币种</w:t>
            </w:r>
          </w:p>
        </w:tc>
        <w:tc>
          <w:tcPr>
            <w:tcW w:w="7036" w:type="dxa"/>
            <w:vAlign w:val="center"/>
          </w:tcPr>
          <w:p>
            <w:pPr>
              <w:jc w:val="center"/>
            </w:pPr>
            <w:r>
              <w:rPr>
                <w:rFonts w:ascii="宋体" w:hAnsi="宋体" w:eastAsia="宋体"/>
                <w:sz w:val="21"/>
              </w:rPr>
              <w:t>人民币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起点销售金额</w:t>
            </w:r>
          </w:p>
        </w:tc>
        <w:tc>
          <w:tcPr>
            <w:tcW w:w="7036" w:type="dxa"/>
            <w:vAlign w:val="center"/>
          </w:tcPr>
          <w:p>
            <w:pPr>
              <w:jc w:val="left"/>
            </w:pPr>
            <w:r>
              <w:rPr>
                <w:rFonts w:ascii="宋体" w:hAnsi="宋体" w:eastAsia="宋体"/>
                <w:sz w:val="21"/>
              </w:rPr>
              <w:t>TYG3M1910：1.00元；TYG3M1910B：200,000.00元；TYG3M1910C：1.00元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追加递增金额</w:t>
            </w:r>
          </w:p>
        </w:tc>
        <w:tc>
          <w:tcPr>
            <w:tcW w:w="7036" w:type="dxa"/>
            <w:vAlign w:val="center"/>
          </w:tcPr>
          <w:p>
            <w:pPr>
              <w:jc w:val="left"/>
            </w:pPr>
            <w:r>
              <w:rPr>
                <w:rFonts w:ascii="宋体" w:hAnsi="宋体" w:eastAsia="宋体"/>
                <w:sz w:val="21"/>
              </w:rPr>
              <w:t>TYG3M1910：1.00元；TYG3M1910B：1.00元；TYG3M1910C：1.00元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计划募集金额</w:t>
            </w:r>
          </w:p>
        </w:tc>
        <w:tc>
          <w:tcPr>
            <w:tcW w:w="7036" w:type="dxa"/>
            <w:vAlign w:val="center"/>
          </w:tcPr>
          <w:p>
            <w:pPr>
              <w:jc w:val="left"/>
            </w:pPr>
            <w:r>
              <w:rPr>
                <w:rFonts w:ascii="宋体" w:hAnsi="宋体" w:eastAsia="宋体"/>
                <w:sz w:val="21"/>
              </w:rPr>
              <w:t>TYG3M1910：10,000,000,000.00元；TYG3M1910B：2,000,000,000.00元；TYG3M1910C：2,000,000,000.00元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巨额赎回</w:t>
            </w:r>
          </w:p>
        </w:tc>
        <w:tc>
          <w:tcPr>
            <w:tcW w:w="7036" w:type="dxa"/>
            <w:vAlign w:val="center"/>
          </w:tcPr>
          <w:p>
            <w:pPr>
              <w:jc w:val="left"/>
            </w:pPr>
            <w:r>
              <w:rPr>
                <w:rFonts w:ascii="宋体" w:hAnsi="宋体" w:eastAsia="宋体"/>
                <w:sz w:val="21"/>
              </w:rPr>
              <w:t>理财计划存续期内，若理财计划开放日净赎回申请份额超过上一日日终理财计划总份额10%时，即构成巨额赎回。</w:t>
            </w:r>
          </w:p>
          <w:p>
            <w:r>
              <w:rPr>
                <w:rFonts w:ascii="宋体" w:hAnsi="宋体" w:eastAsia="宋体"/>
                <w:sz w:val="21"/>
              </w:rPr>
              <w:t>在发生巨额赎回时，管理人有权依照理财计划的投资运作情况选择全额赎回、部分赎回、延期支付等方式处理。</w:t>
            </w:r>
          </w:p>
          <w:p>
            <w:r>
              <w:rPr>
                <w:rFonts w:ascii="宋体" w:hAnsi="宋体" w:eastAsia="宋体"/>
                <w:sz w:val="21"/>
              </w:rPr>
              <w:t>详细内容见理财产品说明书的“申购及赎回”章节。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（三）产品性质与类型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产品募集方式</w:t>
            </w:r>
          </w:p>
        </w:tc>
        <w:tc>
          <w:tcPr>
            <w:tcW w:w="7036" w:type="dxa"/>
            <w:vAlign w:val="center"/>
          </w:tcPr>
          <w:p>
            <w:pPr>
              <w:jc w:val="center"/>
            </w:pPr>
            <w:r>
              <w:rPr>
                <w:rFonts w:ascii="宋体" w:hAnsi="宋体" w:eastAsia="宋体"/>
                <w:sz w:val="21"/>
              </w:rPr>
              <w:t>公募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产品投资性质</w:t>
            </w:r>
          </w:p>
        </w:tc>
        <w:tc>
          <w:tcPr>
            <w:tcW w:w="7036" w:type="dxa"/>
            <w:vAlign w:val="center"/>
          </w:tcPr>
          <w:p>
            <w:pPr>
              <w:jc w:val="center"/>
            </w:pPr>
            <w:r>
              <w:rPr>
                <w:rFonts w:ascii="宋体" w:hAnsi="宋体" w:eastAsia="宋体"/>
                <w:sz w:val="21"/>
              </w:rPr>
              <w:t>固定收益类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产品运作模式</w:t>
            </w:r>
          </w:p>
        </w:tc>
        <w:tc>
          <w:tcPr>
            <w:tcW w:w="7036" w:type="dxa"/>
            <w:vAlign w:val="center"/>
          </w:tcPr>
          <w:p>
            <w:pPr>
              <w:jc w:val="center"/>
            </w:pPr>
            <w:r>
              <w:rPr>
                <w:rFonts w:ascii="宋体" w:hAnsi="宋体" w:eastAsia="宋体"/>
                <w:sz w:val="21"/>
              </w:rPr>
              <w:t>开放式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产品风险等级</w:t>
            </w:r>
          </w:p>
        </w:tc>
        <w:tc>
          <w:tcPr>
            <w:tcW w:w="7036" w:type="dxa"/>
            <w:vAlign w:val="center"/>
          </w:tcPr>
          <w:p>
            <w:pPr>
              <w:jc w:val="center"/>
            </w:pPr>
            <w:r>
              <w:rPr>
                <w:rFonts w:ascii="宋体" w:hAnsi="宋体" w:eastAsia="宋体"/>
                <w:sz w:val="21"/>
              </w:rPr>
              <w:t>R2稳健型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是否为现金管理类产品</w:t>
            </w:r>
          </w:p>
        </w:tc>
        <w:tc>
          <w:tcPr>
            <w:tcW w:w="7036" w:type="dxa"/>
            <w:vAlign w:val="center"/>
          </w:tcPr>
          <w:p>
            <w:pPr>
              <w:jc w:val="center"/>
            </w:pPr>
            <w:r>
              <w:rPr>
                <w:rFonts w:ascii="宋体" w:hAnsi="宋体" w:eastAsia="宋体"/>
                <w:sz w:val="21"/>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（四）产品期限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募集起始日期</w:t>
            </w:r>
          </w:p>
        </w:tc>
        <w:tc>
          <w:tcPr>
            <w:tcW w:w="7036" w:type="dxa"/>
            <w:vAlign w:val="center"/>
          </w:tcPr>
          <w:p>
            <w:pPr>
              <w:jc w:val="center"/>
            </w:pPr>
            <w:r>
              <w:rPr>
                <w:rFonts w:ascii="宋体" w:hAnsi="宋体" w:eastAsia="宋体"/>
                <w:sz w:val="21"/>
              </w:rPr>
              <w:t>2019年7月24日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募集结束日期</w:t>
            </w:r>
          </w:p>
        </w:tc>
        <w:tc>
          <w:tcPr>
            <w:tcW w:w="7036" w:type="dxa"/>
            <w:vAlign w:val="center"/>
          </w:tcPr>
          <w:p>
            <w:pPr>
              <w:jc w:val="center"/>
            </w:pPr>
            <w:r>
              <w:rPr>
                <w:rFonts w:ascii="宋体" w:hAnsi="宋体" w:eastAsia="宋体"/>
                <w:sz w:val="21"/>
              </w:rPr>
              <w:t>2019年7月30日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产品成立日期</w:t>
            </w:r>
          </w:p>
        </w:tc>
        <w:tc>
          <w:tcPr>
            <w:tcW w:w="7036" w:type="dxa"/>
            <w:vAlign w:val="center"/>
          </w:tcPr>
          <w:p>
            <w:pPr>
              <w:jc w:val="center"/>
            </w:pPr>
            <w:r>
              <w:rPr>
                <w:rFonts w:ascii="宋体" w:hAnsi="宋体" w:eastAsia="宋体"/>
                <w:sz w:val="21"/>
              </w:rPr>
              <w:t>2019年7月31日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产品终止日期</w:t>
            </w:r>
          </w:p>
        </w:tc>
        <w:tc>
          <w:tcPr>
            <w:tcW w:w="7036" w:type="dxa"/>
            <w:vAlign w:val="center"/>
          </w:tcPr>
          <w:p>
            <w:pPr>
              <w:jc w:val="center"/>
            </w:pPr>
            <w:r>
              <w:rPr>
                <w:rFonts w:ascii="宋体" w:hAnsi="宋体" w:eastAsia="宋体"/>
                <w:sz w:val="21"/>
              </w:rPr>
              <w:t>无固定期限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资金到账日</w:t>
            </w:r>
          </w:p>
        </w:tc>
        <w:tc>
          <w:tcPr>
            <w:tcW w:w="7036" w:type="dxa"/>
            <w:vAlign w:val="center"/>
          </w:tcPr>
          <w:p>
            <w:pPr>
              <w:jc w:val="left"/>
            </w:pPr>
            <w:r>
              <w:rPr>
                <w:rFonts w:ascii="宋体" w:hAnsi="宋体" w:eastAsia="宋体"/>
                <w:sz w:val="21"/>
              </w:rPr>
              <w:t>最快T+0到账。其中T指封闭式产品实际终止日或开放式产品赎回确认日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（五）产品费用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销售服务费率（年化）</w:t>
            </w:r>
          </w:p>
        </w:tc>
        <w:tc>
          <w:tcPr>
            <w:tcW w:w="7036" w:type="dxa"/>
            <w:vAlign w:val="center"/>
          </w:tcPr>
          <w:p>
            <w:pPr>
              <w:jc w:val="left"/>
            </w:pPr>
            <w:r>
              <w:rPr>
                <w:rFonts w:ascii="宋体" w:hAnsi="宋体" w:eastAsia="宋体"/>
                <w:sz w:val="21"/>
              </w:rPr>
              <w:t>TYG3M1910：0.30%；TYG3M1910B：0.25%；TYG3M1910C：0.20%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托管费率（年化）</w:t>
            </w:r>
          </w:p>
        </w:tc>
        <w:tc>
          <w:tcPr>
            <w:tcW w:w="7036" w:type="dxa"/>
            <w:vAlign w:val="center"/>
          </w:tcPr>
          <w:p>
            <w:pPr>
              <w:jc w:val="center"/>
            </w:pPr>
            <w:r>
              <w:rPr>
                <w:rFonts w:ascii="宋体" w:hAnsi="宋体" w:eastAsia="宋体"/>
                <w:sz w:val="21"/>
              </w:rPr>
              <w:t>0.025%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固定管理费率（年化）</w:t>
            </w:r>
          </w:p>
        </w:tc>
        <w:tc>
          <w:tcPr>
            <w:tcW w:w="7036" w:type="dxa"/>
            <w:vAlign w:val="center"/>
          </w:tcPr>
          <w:p>
            <w:pPr>
              <w:jc w:val="left"/>
            </w:pPr>
            <w:r>
              <w:rPr>
                <w:rFonts w:ascii="宋体" w:hAnsi="宋体" w:eastAsia="宋体"/>
                <w:sz w:val="21"/>
              </w:rPr>
              <w:t>TYG3M1910：0.30%；TYG3M1910B：0.30%；TYG3M1910C：0.30%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信息技术服务费率（年化）</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浮动管理费</w:t>
            </w:r>
          </w:p>
        </w:tc>
        <w:tc>
          <w:tcPr>
            <w:tcW w:w="7036" w:type="dxa"/>
            <w:vAlign w:val="center"/>
          </w:tcPr>
          <w:p>
            <w:pPr>
              <w:jc w:val="left"/>
            </w:pPr>
            <w:r>
              <w:rPr>
                <w:rFonts w:ascii="宋体" w:hAnsi="宋体" w:eastAsia="宋体"/>
                <w:sz w:val="21"/>
              </w:rPr>
              <w:t>管理人根据理财计划投资情况计算浮动管理费，〖A份额〗投资周期的折合年化收益率超过〖2.3%〗的部分，管理人提取〖50%〗作为浮动管理费；〖B份额〗投资周期的折合年化收益率超过〖2.35%〗的部分，管理人提取〖50%〗作为浮动管理费；〖C份额〗投资周期的折合年化收益率超过〖2.4%〗的部分，管理人提取〖50%〗作为浮动管理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认购费率</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申购费率</w:t>
            </w:r>
          </w:p>
        </w:tc>
        <w:tc>
          <w:tcPr>
            <w:tcW w:w="7036" w:type="dxa"/>
            <w:vAlign w:val="center"/>
          </w:tcPr>
          <w:p>
            <w:pPr>
              <w:jc w:val="center"/>
            </w:pPr>
            <w:r>
              <w:rPr>
                <w:rFonts w:ascii="宋体" w:hAnsi="宋体" w:eastAsia="宋体"/>
                <w:sz w:val="21"/>
              </w:rPr>
              <w:t>--</w:t>
            </w:r>
          </w:p>
        </w:tc>
      </w:tr>
      <w:tr>
        <w:tblPrEx>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赎回费率</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其他费用说明</w:t>
            </w:r>
          </w:p>
        </w:tc>
        <w:tc>
          <w:tcPr>
            <w:tcW w:w="7036" w:type="dxa"/>
            <w:vAlign w:val="center"/>
          </w:tcPr>
          <w:p>
            <w:pPr>
              <w:jc w:val="left"/>
            </w:pPr>
            <w:r>
              <w:rPr>
                <w:rFonts w:ascii="宋体" w:hAnsi="宋体" w:eastAsia="宋体"/>
                <w:sz w:val="21"/>
              </w:rPr>
              <w:t>除上述费用外，由受托管理资产承担的费用包括但不限于：</w:t>
            </w:r>
          </w:p>
          <w:p>
            <w:r>
              <w:rPr>
                <w:rFonts w:ascii="宋体" w:hAnsi="宋体" w:eastAsia="宋体"/>
                <w:sz w:val="21"/>
              </w:rPr>
              <w:t>1、财产管理、运用或处分过程中发生的税费。</w:t>
            </w:r>
          </w:p>
          <w:p>
            <w:r>
              <w:rPr>
                <w:rFonts w:ascii="宋体" w:hAnsi="宋体" w:eastAsia="宋体"/>
                <w:sz w:val="21"/>
              </w:rPr>
              <w:t>2、代理机构手续费、管理费、财务顾问费、保管费。</w:t>
            </w:r>
          </w:p>
          <w:p>
            <w:r>
              <w:rPr>
                <w:rFonts w:ascii="宋体" w:hAnsi="宋体" w:eastAsia="宋体"/>
                <w:sz w:val="21"/>
              </w:rPr>
              <w:t>3、审计费、律师费、公证费等费用。</w:t>
            </w:r>
          </w:p>
          <w:p>
            <w:r>
              <w:rPr>
                <w:rFonts w:ascii="宋体" w:hAnsi="宋体" w:eastAsia="宋体"/>
                <w:sz w:val="21"/>
              </w:rPr>
              <w:t>4、管理人自行或委托第三方向本理财计划所投资产所涉及相关主体进行追偿所发生的费用（包括但不限于诉讼费、仲裁费、律师费、保全费等全部费用）。</w:t>
            </w:r>
          </w:p>
          <w:p>
            <w:r>
              <w:rPr>
                <w:rFonts w:ascii="宋体" w:hAnsi="宋体" w:eastAsia="宋体"/>
                <w:sz w:val="21"/>
              </w:rPr>
              <w:t>5、理财计划的交易费用（包括但不限于交易佣金、相关账户费用等）及投资其他资管产品的费用。</w:t>
            </w:r>
          </w:p>
          <w:p>
            <w:r>
              <w:rPr>
                <w:rFonts w:ascii="宋体" w:hAnsi="宋体" w:eastAsia="宋体"/>
                <w:sz w:val="21"/>
              </w:rPr>
              <w:t>6、监管规定的其他费用。</w:t>
            </w:r>
          </w:p>
          <w:p>
            <w:pPr>
              <w:ind w:firstLine="420"/>
              <w:jc w:val="left"/>
            </w:pPr>
            <w:r>
              <w:rPr>
                <w:rFonts w:ascii="宋体" w:hAnsi="宋体" w:eastAsia="宋体"/>
                <w:sz w:val="21"/>
              </w:rPr>
              <w:t>管理人有权根据国家政策和适用法律的规定，对本理财计划费用名目、收费条件、收费标准和收费方式进行调整，并按照信息披露约定的方式向投资者进行披露。</w:t>
            </w:r>
          </w:p>
          <w:p>
            <w:r>
              <w:rPr>
                <w:rFonts w:ascii="宋体" w:hAnsi="宋体" w:eastAsia="宋体"/>
                <w:sz w:val="21"/>
              </w:rPr>
              <w:t>详细内容见理财产品说明书的“其他费用”章节。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（六）业绩比较基准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业绩比较基准</w:t>
            </w:r>
          </w:p>
        </w:tc>
        <w:tc>
          <w:tcPr>
            <w:tcW w:w="7036" w:type="dxa"/>
            <w:vAlign w:val="center"/>
          </w:tcPr>
          <w:p>
            <w:pPr>
              <w:jc w:val="left"/>
            </w:pPr>
            <w:r>
              <w:rPr>
                <w:rFonts w:ascii="宋体" w:hAnsi="宋体" w:eastAsia="宋体"/>
                <w:sz w:val="21"/>
              </w:rPr>
              <w:t>1. TYG3M1910：中债-新综合指数(1年以下)全价指数×90%+中国人民银行公布的个人活期存款利率×10%；TYG3M1910B：中债-新综合指数(1年以下)全价指数×90%+中国人民银行公布的个人活期存款利率×10%；TYG3M1910C：中债-新综合指数(1年以下)全价指数×90%+中国人民银行公布的个人活期存款利率×10%</w:t>
            </w:r>
          </w:p>
          <w:p>
            <w:r>
              <w:rPr>
                <w:rFonts w:ascii="宋体" w:hAnsi="宋体" w:eastAsia="宋体"/>
                <w:sz w:val="21"/>
              </w:rPr>
              <w:t>2. 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（七）投资范围与策略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投资范围</w:t>
            </w:r>
          </w:p>
        </w:tc>
        <w:tc>
          <w:tcPr>
            <w:tcW w:w="7036" w:type="dxa"/>
            <w:vAlign w:val="center"/>
          </w:tcPr>
          <w:p>
            <w:pPr>
              <w:jc w:val="left"/>
            </w:pPr>
            <w:r>
              <w:rPr>
                <w:rFonts w:ascii="宋体" w:hAnsi="宋体" w:eastAsia="宋体"/>
                <w:sz w:val="21"/>
              </w:rPr>
              <w:t>1. 固定收益类资产：包括但不限于各类债券、存款、货币市场金融工具、债券基金、质押式及买断式回购，其他符合监管要求的固定收益类资产及资产管理产品。</w:t>
            </w:r>
          </w:p>
          <w:p>
            <w:r>
              <w:rPr>
                <w:rFonts w:ascii="宋体" w:hAnsi="宋体" w:eastAsia="宋体"/>
                <w:sz w:val="21"/>
              </w:rPr>
              <w:t>2. 权益类资产：包括国内发行上市优先股、上市公司股票、定向增发、员工持股计划、以及其他符合监管要求的权益类资产及资产管理产品（不包括未上市企业股权）。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固定收益类资产投资上限</w:t>
            </w:r>
          </w:p>
        </w:tc>
        <w:tc>
          <w:tcPr>
            <w:tcW w:w="7036" w:type="dxa"/>
            <w:vAlign w:val="center"/>
          </w:tcPr>
          <w:p>
            <w:pPr>
              <w:jc w:val="center"/>
            </w:pPr>
            <w:r>
              <w:rPr>
                <w:rFonts w:ascii="宋体" w:hAnsi="宋体" w:eastAsia="宋体"/>
                <w:sz w:val="21"/>
              </w:rPr>
              <w:t>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固定收益类资产投资下限</w:t>
            </w:r>
          </w:p>
        </w:tc>
        <w:tc>
          <w:tcPr>
            <w:tcW w:w="7036" w:type="dxa"/>
            <w:vAlign w:val="center"/>
          </w:tcPr>
          <w:p>
            <w:pPr>
              <w:jc w:val="center"/>
            </w:pPr>
            <w:r>
              <w:rPr>
                <w:rFonts w:ascii="宋体" w:hAnsi="宋体" w:eastAsia="宋体"/>
                <w:sz w:val="21"/>
              </w:rPr>
              <w:t>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权益类资产投资上限</w:t>
            </w:r>
          </w:p>
        </w:tc>
        <w:tc>
          <w:tcPr>
            <w:tcW w:w="7036" w:type="dxa"/>
            <w:vAlign w:val="center"/>
          </w:tcPr>
          <w:p>
            <w:pPr>
              <w:jc w:val="center"/>
            </w:pPr>
            <w:r>
              <w:rPr>
                <w:rFonts w:ascii="宋体" w:hAnsi="宋体" w:eastAsia="宋体"/>
                <w:sz w:val="21"/>
              </w:rPr>
              <w:t>20%</w:t>
            </w:r>
          </w:p>
        </w:tc>
      </w:tr>
      <w:tr>
        <w:tblPrEx>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权益类资产投资下限</w:t>
            </w:r>
          </w:p>
        </w:tc>
        <w:tc>
          <w:tcPr>
            <w:tcW w:w="7036" w:type="dxa"/>
            <w:vAlign w:val="center"/>
          </w:tcPr>
          <w:p>
            <w:pPr>
              <w:jc w:val="center"/>
            </w:pPr>
            <w:r>
              <w:rPr>
                <w:rFonts w:ascii="宋体" w:hAnsi="宋体" w:eastAsia="宋体"/>
                <w:sz w:val="21"/>
              </w:rPr>
              <w:t>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商品及金融衍生品类资产投资上限</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商品及金融衍生品类资产投资下限</w:t>
            </w:r>
          </w:p>
        </w:tc>
        <w:tc>
          <w:tcPr>
            <w:tcW w:w="7036" w:type="dxa"/>
            <w:vAlign w:val="center"/>
          </w:tcPr>
          <w:p>
            <w:pPr>
              <w:jc w:val="center"/>
            </w:pPr>
            <w:r>
              <w:rPr>
                <w:rFonts w:ascii="宋体" w:hAnsi="宋体" w:eastAsia="宋体"/>
                <w:sz w:val="21"/>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8714" w:type="dxa"/>
            <w:gridSpan w:val="2"/>
            <w:vAlign w:val="center"/>
          </w:tcPr>
          <w:p>
            <w:pPr>
              <w:jc w:val="center"/>
            </w:pPr>
            <w:r>
              <w:rPr>
                <w:rFonts w:ascii="宋体" w:hAnsi="宋体" w:eastAsia="宋体"/>
                <w:b/>
                <w:sz w:val="21"/>
              </w:rPr>
              <w:t>（八）其他约定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1678" w:type="dxa"/>
            <w:vAlign w:val="center"/>
          </w:tcPr>
          <w:p>
            <w:pPr>
              <w:jc w:val="center"/>
            </w:pPr>
            <w:r>
              <w:rPr>
                <w:rFonts w:ascii="宋体" w:hAnsi="宋体" w:eastAsia="宋体"/>
                <w:sz w:val="21"/>
              </w:rPr>
              <w:t>其他约定</w:t>
            </w:r>
          </w:p>
        </w:tc>
        <w:tc>
          <w:tcPr>
            <w:tcW w:w="7036" w:type="dxa"/>
            <w:vAlign w:val="center"/>
          </w:tcPr>
          <w:p>
            <w:pPr>
              <w:jc w:val="left"/>
            </w:pPr>
            <w:r>
              <w:rPr>
                <w:rFonts w:ascii="宋体" w:hAnsi="宋体" w:eastAsia="宋体"/>
                <w:sz w:val="21"/>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r>
              <w:rPr>
                <w:rFonts w:ascii="宋体" w:hAnsi="宋体" w:eastAsia="宋体"/>
                <w:sz w:val="21"/>
              </w:rPr>
              <w:t>支付给投资者的理财收益的应纳税款由投资者自行申报及缴纳。</w:t>
            </w:r>
          </w:p>
        </w:tc>
      </w:tr>
    </w:tbl>
    <w:p>
      <w:pPr>
        <w:pageBreakBefore/>
        <w:ind w:left="0" w:leftChars="0" w:firstLine="0" w:firstLineChars="0"/>
        <w:jc w:val="center"/>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杭银理财幸福99季添益1910期理财</w:t>
      </w:r>
      <w:r>
        <w:rPr>
          <w:rFonts w:hint="eastAsia" w:ascii="宋体" w:hAnsi="宋体" w:cs="宋体"/>
          <w:b/>
          <w:bCs/>
          <w:color w:val="000000"/>
          <w:sz w:val="44"/>
          <w:szCs w:val="44"/>
          <w:highlight w:val="none"/>
        </w:rPr>
        <w:t>风险揭示书</w:t>
      </w:r>
    </w:p>
    <w:p>
      <w:pPr>
        <w:jc w:val="center"/>
        <w:rPr>
          <w:rFonts w:hint="eastAsia" w:ascii="宋体" w:hAnsi="宋体" w:cs="宋体"/>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left"/>
        <w:rPr>
          <w:rFonts w:hint="eastAsia" w:ascii="宋体" w:hAnsi="宋体" w:cs="宋体"/>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0"/>
        </w:numPr>
        <w:spacing w:line="360" w:lineRule="auto"/>
        <w:ind w:left="0" w:leftChars="0" w:firstLine="482" w:firstLineChars="200"/>
        <w:jc w:val="left"/>
        <w:outlineLvl w:val="9"/>
        <w:rPr>
          <w:rFonts w:hint="eastAsia" w:ascii="宋体" w:hAnsi="宋体" w:cs="宋体"/>
          <w:b/>
          <w:sz w:val="24"/>
          <w:highlight w:val="none"/>
          <w:lang w:eastAsia="zh"/>
        </w:rPr>
      </w:pPr>
      <w:r>
        <w:rPr>
          <w:rFonts w:hint="eastAsia" w:ascii="宋体" w:hAnsi="宋体" w:cs="宋体"/>
          <w:b/>
          <w:sz w:val="24"/>
          <w:highlight w:val="none"/>
          <w:lang w:eastAsia="zh"/>
        </w:rPr>
        <w:t>上述风险仅为列举情况，可能未能详尽列明投资本理财计划可能面临的全部风险和可能导致投资者本金及收益损失的所有因素。针对本理财计划可能面临的各类潜在风险，管理人将本着勤勉尽责的管理原则，采用包括不限于如下风险控制措施予以应对：</w:t>
      </w:r>
    </w:p>
    <w:p>
      <w:pPr>
        <w:numPr>
          <w:ilvl w:val="0"/>
          <w:numId w:val="5"/>
        </w:numPr>
        <w:spacing w:line="360" w:lineRule="auto"/>
        <w:ind w:left="0" w:leftChars="0" w:firstLine="482" w:firstLineChars="200"/>
        <w:jc w:val="left"/>
        <w:outlineLvl w:val="9"/>
        <w:rPr>
          <w:rFonts w:hint="eastAsia" w:ascii="宋体" w:hAnsi="宋体" w:cs="宋体"/>
          <w:b/>
          <w:sz w:val="24"/>
          <w:highlight w:val="none"/>
          <w:lang w:eastAsia="zh"/>
        </w:rPr>
      </w:pPr>
      <w:r>
        <w:rPr>
          <w:rFonts w:hint="eastAsia" w:ascii="宋体" w:hAnsi="宋体" w:cs="宋体"/>
          <w:b/>
          <w:sz w:val="24"/>
          <w:highlight w:val="none"/>
          <w:lang w:eastAsia="zh"/>
        </w:rPr>
        <w:t>针对各类核心风险，实施精细化分级管控。对于市场风险，建立市场行情动态监测、资产估值校验、投资组合管理机制，实时跟踪利率、汇率、资本市场等波动变量，通过限额管理、分散投资、压力测试等方式缓释市场波动风险；对于信用风险，建立严格的交易对手准入、信用评级、尽职调查及存续期跟踪机制，常态化开展信用风险排查与预警，严控信用违约风险；对于流动性风险，建立流动性指标常态化监测、大额申赎管控、应急流动性储备等机制，严格落实流动性风险限额管理，有效应对产品与市场流动性波动变化风险。</w:t>
      </w:r>
    </w:p>
    <w:p>
      <w:pPr>
        <w:numPr>
          <w:ilvl w:val="0"/>
          <w:numId w:val="5"/>
        </w:numPr>
        <w:spacing w:line="360" w:lineRule="auto"/>
        <w:ind w:left="0" w:leftChars="0" w:firstLine="482" w:firstLineChars="200"/>
        <w:jc w:val="left"/>
        <w:outlineLvl w:val="9"/>
        <w:rPr>
          <w:rFonts w:hint="eastAsia" w:ascii="宋体" w:hAnsi="宋体" w:cs="宋体"/>
          <w:b/>
          <w:sz w:val="24"/>
          <w:highlight w:val="none"/>
          <w:lang w:eastAsia="zh"/>
        </w:rPr>
      </w:pPr>
      <w:r>
        <w:rPr>
          <w:rFonts w:hint="eastAsia" w:ascii="宋体" w:hAnsi="宋体" w:cs="宋体"/>
          <w:b/>
          <w:sz w:val="24"/>
          <w:highlight w:val="none"/>
          <w:lang w:eastAsia="zh"/>
        </w:rPr>
        <w:t>强化操作风险与合规风险管控，建立全面内部控制体系，对业务操作、系统运维、人员管理等关键环节实施常态化稽核检查与风险排查，规范岗位操作权限，完善系统风控壁垒，维护理财计划稳健运营。</w:t>
      </w:r>
    </w:p>
    <w:p>
      <w:pPr>
        <w:numPr>
          <w:ilvl w:val="0"/>
          <w:numId w:val="5"/>
        </w:numPr>
        <w:spacing w:line="360" w:lineRule="auto"/>
        <w:ind w:left="0" w:leftChars="0" w:firstLine="482" w:firstLineChars="200"/>
        <w:jc w:val="left"/>
        <w:outlineLvl w:val="9"/>
        <w:rPr>
          <w:rFonts w:hint="eastAsia" w:ascii="宋体" w:hAnsi="宋体" w:cs="宋体"/>
          <w:b/>
          <w:sz w:val="24"/>
          <w:highlight w:val="none"/>
          <w:lang w:eastAsia="zh"/>
        </w:rPr>
      </w:pPr>
      <w:r>
        <w:rPr>
          <w:rFonts w:hint="eastAsia" w:ascii="宋体" w:hAnsi="宋体" w:cs="宋体"/>
          <w:b/>
          <w:sz w:val="24"/>
          <w:highlight w:val="none"/>
          <w:lang w:eastAsia="zh"/>
        </w:rPr>
        <w:t>持续完善风险治理结构，建立自上而下、权责清晰的风险管理组织体系，构建“事前防范、事中监控、事后处置”的全链条风险治理机制，各类风险统一归口管理、分级分类管控，切实保障投资者合规合法权益。</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6"/>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资金流动性风险：本理财计划定期开放申购、赎回，非开放期内投资者不得提前交易。</w:t>
      </w:r>
    </w:p>
    <w:p>
      <w:pPr>
        <w:keepNext w:val="0"/>
        <w:keepLines w:val="0"/>
        <w:widowControl w:val="0"/>
        <w:numPr>
          <w:ilvl w:val="0"/>
          <w:numId w:val="6"/>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收益不达业绩比较基准风险：业绩比较基准并非预测收益，不代表产品的未来表现和实际收益；本理财计划的投资收益与投资者的申购、赎回时点密切相关，收益存在一定的波动性，产品本金出现损失的可能性不容忽视。</w:t>
      </w:r>
    </w:p>
    <w:p>
      <w:pPr>
        <w:keepNext w:val="0"/>
        <w:keepLines w:val="0"/>
        <w:widowControl w:val="0"/>
        <w:numPr>
          <w:ilvl w:val="0"/>
          <w:numId w:val="0"/>
        </w:numPr>
        <w:suppressLineNumbers w:val="0"/>
        <w:spacing w:before="0" w:beforeAutospacing="0" w:after="0" w:afterAutospacing="0" w:line="360" w:lineRule="auto"/>
        <w:ind w:left="0" w:leftChars="0" w:right="0"/>
        <w:jc w:val="both"/>
        <w:rPr>
          <w:rFonts w:hint="eastAsia" w:ascii="宋体" w:hAnsi="宋体" w:cs="宋体"/>
          <w:b/>
          <w:sz w:val="24"/>
          <w:highlight w:val="none"/>
        </w:rPr>
      </w:pP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7"/>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8"/>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8"/>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8"/>
        </w:numPr>
        <w:spacing w:line="360" w:lineRule="auto"/>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国务院银行业监督管理机构规定的其他情形。</w:t>
      </w:r>
    </w:p>
    <w:p>
      <w:pPr>
        <w:numPr>
          <w:ilvl w:val="0"/>
          <w:numId w:val="9"/>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9"/>
        </w:numPr>
        <w:spacing w:line="360" w:lineRule="auto"/>
        <w:jc w:val="left"/>
        <w:outlineLvl w:val="9"/>
        <w:rPr>
          <w:rFonts w:hint="eastAsia" w:ascii="宋体" w:hAnsi="宋体" w:cs="宋体"/>
          <w:bCs/>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numPr>
          <w:ilvl w:val="0"/>
          <w:numId w:val="9"/>
        </w:numPr>
        <w:spacing w:line="360" w:lineRule="auto"/>
        <w:jc w:val="left"/>
        <w:outlineLvl w:val="9"/>
        <w:rPr>
          <w:rFonts w:hint="eastAsia" w:ascii="宋体" w:hAnsi="宋体" w:cs="宋体"/>
          <w:b/>
          <w:bCs/>
          <w:sz w:val="24"/>
          <w:highlight w:val="none"/>
        </w:rPr>
      </w:pPr>
      <w:r>
        <w:rPr>
          <w:rFonts w:hint="eastAsia" w:ascii="宋体" w:hAnsi="宋体" w:cs="宋体"/>
          <w:b/>
          <w:bCs/>
          <w:color w:val="000000"/>
          <w:sz w:val="24"/>
          <w:highlight w:val="none"/>
          <w:lang w:eastAsia="zh-CN"/>
        </w:rPr>
        <w:t>根据适当性管理原则，将理财投资人分为专业投资者和普通投资者。其中专业投资者应符合下列条件之一：</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CN"/>
        </w:rPr>
        <w:t>1.银行业金融机构、保险业金融机构、金融控股公司、证券基金期货经营机构、私募基金管理人；</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CN"/>
        </w:rPr>
        <w:t>2.上述机构面向投资者发行的金融产品，信托公司管理的资产服务信托、公益慈善信托；</w:t>
      </w:r>
    </w:p>
    <w:p>
      <w:pPr>
        <w:numPr>
          <w:ilvl w:val="0"/>
          <w:numId w:val="0"/>
        </w:numPr>
        <w:spacing w:line="360" w:lineRule="auto"/>
        <w:ind w:left="0" w:leftChars="0" w:firstLine="420" w:firstLine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CN"/>
        </w:rPr>
        <w:t>3.社会保障基金、企业年金、职业年金等养老基金，慈善基金等社会公益基金，合格境外机构投资者（QFII）、人民币合格境外机构投资者（ROFII）。</w:t>
      </w:r>
    </w:p>
    <w:p>
      <w:pPr>
        <w:numPr>
          <w:ilvl w:val="0"/>
          <w:numId w:val="0"/>
        </w:numPr>
        <w:spacing w:line="360" w:lineRule="auto"/>
        <w:ind w:left="420" w:leftChars="0"/>
        <w:jc w:val="left"/>
        <w:outlineLvl w:val="9"/>
        <w:rPr>
          <w:rFonts w:hint="eastAsia" w:ascii="宋体" w:hAnsi="宋体" w:cs="宋体"/>
          <w:bCs/>
          <w:sz w:val="24"/>
          <w:highlight w:val="none"/>
        </w:rPr>
      </w:pPr>
      <w:r>
        <w:rPr>
          <w:rFonts w:hint="eastAsia" w:ascii="宋体" w:hAnsi="宋体" w:cs="宋体"/>
          <w:bCs/>
          <w:color w:val="000000"/>
          <w:sz w:val="24"/>
          <w:highlight w:val="none"/>
          <w:lang w:eastAsia="zh-CN"/>
        </w:rPr>
        <w:t>专业投资者之外的投资者为普通投资者。</w:t>
      </w:r>
    </w:p>
    <w:p>
      <w:pPr>
        <w:numPr>
          <w:ilvl w:val="0"/>
          <w:numId w:val="0"/>
        </w:numPr>
        <w:spacing w:line="360" w:lineRule="auto"/>
        <w:ind w:left="420" w:leftChars="0"/>
        <w:jc w:val="left"/>
        <w:outlineLvl w:val="9"/>
        <w:rPr>
          <w:rFonts w:hint="eastAsia" w:ascii="宋体" w:hAnsi="宋体" w:cs="宋体"/>
          <w:bCs/>
          <w:sz w:val="24"/>
          <w:highlight w:val="none"/>
        </w:rPr>
      </w:pP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开放式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cs="宋体"/>
          <w:b/>
          <w:color w:val="000000"/>
          <w:sz w:val="24"/>
          <w:highlight w:val="none"/>
          <w:lang w:eastAsia="zh-CN"/>
        </w:rPr>
        <w:t>无固定期限</w:t>
      </w:r>
      <w:r>
        <w:rPr>
          <w:rFonts w:hint="eastAsia" w:ascii="宋体" w:hAnsi="宋体" w:cs="宋体"/>
          <w:b/>
          <w:color w:val="000000"/>
          <w:sz w:val="24"/>
          <w:highlight w:val="none"/>
        </w:rPr>
        <w:t>〗</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
          <w:color w:val="auto"/>
          <w:highlight w:val="none"/>
        </w:rPr>
      </w:pPr>
      <w:r>
        <w:rPr>
          <w:rFonts w:hint="eastAsia" w:ascii="宋体" w:hAnsi="宋体" w:cs="宋体"/>
          <w:bCs/>
          <w:color w:val="000000"/>
          <w:sz w:val="24"/>
          <w:highlight w:val="none"/>
        </w:rPr>
        <w:t>风险提示方：杭银理财有限责任公司</w:t>
      </w:r>
    </w:p>
    <w:p>
      <w:pPr>
        <w:pStyle w:val="9"/>
        <w:keepNext w:val="0"/>
        <w:keepLines w:val="0"/>
        <w:pageBreakBefore/>
        <w:widowControl/>
        <w:suppressLineNumbers w:val="0"/>
        <w:autoSpaceDE w:val="0"/>
        <w:autoSpaceDN w:val="0"/>
        <w:adjustRightInd w:val="0"/>
        <w:spacing w:before="0" w:beforeAutospacing="0" w:after="0" w:afterAutospacing="0" w:line="360" w:lineRule="auto"/>
        <w:ind w:left="0" w:leftChars="0" w:right="0"/>
        <w:jc w:val="center"/>
        <w:outlineLvl w:val="9"/>
        <w:rPr>
          <w:rFonts w:hint="eastAsia" w:ascii="宋体" w:hAnsi="宋体" w:eastAsia="宋体" w:cs="宋体"/>
          <w:b/>
          <w:bCs/>
          <w:sz w:val="24"/>
          <w:szCs w:val="24"/>
        </w:rPr>
      </w:pPr>
      <w:r>
        <w:rPr>
          <w:rFonts w:hint="eastAsia" w:ascii="宋体" w:hAnsi="宋体" w:eastAsia="宋体" w:cs="宋体"/>
          <w:b/>
          <w:bCs/>
          <w:color w:val="000000"/>
          <w:kern w:val="0"/>
          <w:sz w:val="24"/>
          <w:szCs w:val="24"/>
          <w:lang w:val="en-US" w:eastAsia="zh-CN" w:bidi="ar"/>
        </w:rPr>
        <w:t>投资者确认栏（普通投资者填写）</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本人/本机构经销售机构评估的风险承受能力等级为：</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（投资者填写）</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u w:val="single"/>
          <w:lang w:val="en-US" w:eastAsia="zh-CN" w:bidi="ar"/>
        </w:rPr>
        <w:t>如超过一年未进行风险承受能力评估或影响本人风险承受能力的因素发生变化，本人/本机构将于再次购买理财计划时及时完成风险承受能力评估。</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left"/>
        <w:rPr>
          <w:rFonts w:hint="eastAsia" w:ascii="宋体" w:hAnsi="宋体" w:eastAsia="宋体" w:cs="宋体"/>
          <w:b/>
          <w:bCs/>
          <w:color w:val="000000"/>
          <w:sz w:val="24"/>
          <w:szCs w:val="24"/>
          <w:u w:val="single"/>
        </w:rPr>
      </w:pPr>
      <w:r>
        <w:rPr>
          <w:rFonts w:hint="eastAsia" w:ascii="宋体" w:hAnsi="宋体" w:eastAsia="宋体" w:cs="宋体"/>
          <w:b/>
          <w:bCs/>
          <w:color w:val="000000"/>
          <w:kern w:val="0"/>
          <w:sz w:val="24"/>
          <w:szCs w:val="24"/>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2" w:firstLineChars="200"/>
        <w:jc w:val="left"/>
        <w:rPr>
          <w:rFonts w:hint="eastAsia" w:ascii="宋体" w:hAnsi="宋体" w:eastAsia="宋体" w:cs="宋体"/>
          <w:b/>
          <w:bCs/>
          <w:color w:val="000000"/>
          <w:sz w:val="24"/>
          <w:szCs w:val="24"/>
          <w:u w:val="single"/>
        </w:rPr>
      </w:pPr>
      <w:r>
        <w:rPr>
          <w:rFonts w:hint="eastAsia" w:ascii="宋体" w:hAnsi="宋体" w:eastAsia="宋体" w:cs="宋体"/>
          <w:b/>
          <w:bCs/>
          <w:color w:val="000000"/>
          <w:kern w:val="0"/>
          <w:sz w:val="24"/>
          <w:szCs w:val="24"/>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（投资者需全文抄录以下文字以完成确认：</w:t>
      </w:r>
      <w:r>
        <w:rPr>
          <w:rFonts w:hint="eastAsia" w:ascii="宋体" w:hAnsi="宋体" w:eastAsia="宋体" w:cs="宋体"/>
          <w:b/>
          <w:bCs/>
          <w:color w:val="000000"/>
          <w:kern w:val="0"/>
          <w:sz w:val="24"/>
          <w:szCs w:val="24"/>
          <w:lang w:val="en-US" w:eastAsia="zh-CN" w:bidi="ar"/>
        </w:rPr>
        <w:t>“本人/本机构已经阅读上述风险揭示，愿意承担投资风险。”如通过线上渠道购买，认/申购交易确认即知晓并同意自身风险承受能力等级并确认风险揭示内容，愿意承担投资风险，与书面签署具有同等效力。</w:t>
      </w: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lang w:val="en-US" w:eastAsia="zh-CN" w:bidi="ar"/>
        </w:rPr>
        <w:t>本人/本机构同时确认如下：</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个人投资者（签字）：</w:t>
      </w:r>
      <w:r>
        <w:rPr>
          <w:rFonts w:hint="eastAsia" w:ascii="宋体" w:hAnsi="宋体" w:eastAsia="宋体" w:cs="宋体"/>
          <w:color w:val="000000"/>
          <w:kern w:val="0"/>
          <w:sz w:val="24"/>
          <w:szCs w:val="24"/>
          <w:u w:val="single"/>
          <w:lang w:val="en-US" w:eastAsia="zh-CN" w:bidi="ar"/>
        </w:rPr>
        <w:t xml:space="preserve">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机构投资者（盖章）： </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机构投资者法定代表人或授权代表（签字或盖章）：</w:t>
      </w:r>
    </w:p>
    <w:p>
      <w:pPr>
        <w:pStyle w:val="9"/>
        <w:keepNext w:val="0"/>
        <w:keepLines w:val="0"/>
        <w:widowControl w:val="0"/>
        <w:suppressLineNumbers w:val="0"/>
        <w:autoSpaceDE w:val="0"/>
        <w:autoSpaceDN w:val="0"/>
        <w:adjustRightInd w:val="0"/>
        <w:spacing w:before="0" w:beforeAutospacing="0" w:after="0" w:afterAutospacing="0" w:line="360" w:lineRule="auto"/>
        <w:ind w:left="0" w:right="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left"/>
        <w:rPr>
          <w:rFonts w:hint="eastAsia" w:ascii="宋体" w:hAnsi="宋体" w:eastAsia="宋体" w:cs="黑体"/>
          <w:b/>
          <w:bCs/>
          <w:kern w:val="0"/>
          <w:sz w:val="21"/>
          <w:szCs w:val="21"/>
        </w:rPr>
      </w:pPr>
      <w:r>
        <w:rPr>
          <w:rFonts w:hint="eastAsia" w:ascii="宋体" w:hAnsi="宋体" w:eastAsia="宋体" w:cs="宋体"/>
          <w:color w:val="000000"/>
          <w:kern w:val="2"/>
          <w:sz w:val="21"/>
          <w:szCs w:val="21"/>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pPr>
        <w:jc w:val="center"/>
        <w:outlineLvl w:val="9"/>
        <w:rPr>
          <w:rFonts w:hint="eastAsia" w:ascii="宋体" w:hAnsi="宋体" w:cs="宋体"/>
          <w:b/>
          <w:bCs/>
          <w:sz w:val="44"/>
          <w:szCs w:val="44"/>
          <w:highlight w:val="none"/>
        </w:rPr>
      </w:pPr>
      <w:r>
        <w:rPr>
          <w:rFonts w:hint="eastAsia" w:ascii="宋体" w:hAnsi="宋体" w:eastAsia="宋体" w:cs="宋体"/>
          <w:b/>
          <w:bCs/>
          <w:color w:val="000000"/>
          <w:kern w:val="2"/>
          <w:sz w:val="44"/>
          <w:szCs w:val="44"/>
          <w:highlight w:val="none"/>
          <w:lang w:val="en-US" w:eastAsia="zh-CN" w:bidi="ar-SA"/>
        </w:rPr>
        <w:t>杭银理财幸福99季添益1910期理财</w:t>
      </w:r>
      <w:r>
        <w:rPr>
          <w:rFonts w:hint="eastAsia" w:ascii="宋体" w:hAnsi="宋体" w:cs="宋体"/>
          <w:b/>
          <w:bCs/>
          <w:color w:val="000000"/>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Z7002221000281</w:t>
      </w:r>
      <w:r>
        <w:rPr>
          <w:rFonts w:hint="eastAsia" w:ascii="宋体" w:hAnsi="宋体" w:cs="宋体"/>
          <w:bCs/>
          <w:color w:val="000000"/>
          <w:sz w:val="24"/>
          <w:highlight w:val="none"/>
        </w:rPr>
        <w:t>〗</w:t>
      </w:r>
    </w:p>
    <w:p>
      <w:pPr>
        <w:spacing w:line="360" w:lineRule="auto"/>
        <w:jc w:val="center"/>
        <w:rPr>
          <w:rFonts w:hint="eastAsia" w:ascii="宋体" w:hAnsi="宋体" w:cs="宋体"/>
          <w:bCs/>
          <w:sz w:val="24"/>
          <w:highlight w:val="none"/>
        </w:rPr>
      </w:pPr>
    </w:p>
    <w:p>
      <w:pPr>
        <w:numPr>
          <w:ilvl w:val="0"/>
          <w:numId w:val="10"/>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rPr>
        <w:t>重要须知</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1"/>
        </w:numPr>
        <w:spacing w:line="360" w:lineRule="auto"/>
        <w:ind w:firstLine="482" w:firstLineChars="200"/>
        <w:jc w:val="left"/>
        <w:outlineLvl w:val="9"/>
        <w:rPr>
          <w:rFonts w:hint="eastAsia" w:ascii="宋体" w:hAnsi="宋体" w:cs="宋体"/>
          <w:bCs/>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风险揭示书》《投资者权益须知》《理财计划投资协议书》</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1"/>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color w:val="000000"/>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2"/>
        </w:numPr>
        <w:spacing w:line="360" w:lineRule="auto"/>
        <w:ind w:firstLine="482" w:firstLineChars="200"/>
        <w:jc w:val="left"/>
        <w:outlineLvl w:val="9"/>
        <w:rPr>
          <w:rFonts w:ascii="宋体" w:hAnsi="宋体" w:cs="宋体"/>
          <w:b/>
          <w:sz w:val="24"/>
          <w:highlight w:val="none"/>
        </w:rPr>
      </w:pPr>
      <w:r>
        <w:rPr>
          <w:rFonts w:hint="eastAsia" w:ascii="宋体" w:hAnsi="宋体" w:cs="宋体"/>
          <w:b/>
          <w:color w:val="000000"/>
          <w:sz w:val="24"/>
          <w:highlight w:val="none"/>
        </w:rPr>
        <w:t>释义</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20"/>
        <w:numPr>
          <w:ilvl w:val="0"/>
          <w:numId w:val="13"/>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参与主体用语</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20"/>
        <w:numPr>
          <w:ilvl w:val="0"/>
          <w:numId w:val="14"/>
        </w:numPr>
        <w:adjustRightInd/>
        <w:spacing w:line="360" w:lineRule="auto"/>
        <w:ind w:firstLine="482" w:firstLineChars="200"/>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sz w:val="24"/>
          <w:szCs w:val="24"/>
          <w:highlight w:val="none"/>
        </w:rPr>
        <w:t>〖</w:t>
      </w:r>
      <w:r>
        <w:rPr>
          <w:rFonts w:hint="eastAsia" w:ascii="宋体" w:hAnsi="宋体" w:eastAsia="宋体" w:cs="宋体"/>
          <w:color w:val="000000"/>
          <w:sz w:val="24"/>
          <w:szCs w:val="24"/>
          <w:highlight w:val="none"/>
          <w:lang w:val="en-US" w:eastAsia="zh-CN" w:bidi="ar-SA"/>
        </w:rPr>
        <w:t>杭州银行股份有限公司</w:t>
      </w:r>
      <w:r>
        <w:rPr>
          <w:rFonts w:hint="eastAsia" w:ascii="宋体" w:hAnsi="宋体" w:cs="宋体"/>
          <w:sz w:val="24"/>
          <w:szCs w:val="24"/>
          <w:highlight w:val="none"/>
        </w:rPr>
        <w:t>〗</w:t>
      </w:r>
      <w:r>
        <w:rPr>
          <w:rFonts w:hint="eastAsia" w:ascii="宋体" w:hAnsi="宋体" w:cs="宋体"/>
          <w:bCs/>
          <w:color w:val="000000"/>
          <w:kern w:val="2"/>
          <w:highlight w:val="none"/>
        </w:rPr>
        <w:t>。</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20"/>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20"/>
        <w:numPr>
          <w:ilvl w:val="0"/>
          <w:numId w:val="13"/>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法律文件用语</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杭银理财幸福99季添益1910期理财</w:t>
      </w:r>
      <w:r>
        <w:rPr>
          <w:rFonts w:hint="eastAsia" w:ascii="宋体" w:hAnsi="宋体" w:cs="宋体"/>
          <w:bCs/>
          <w:highlight w:val="none"/>
        </w:rPr>
        <w:t>产品说明书</w:t>
      </w:r>
      <w:r>
        <w:rPr>
          <w:rFonts w:hint="eastAsia" w:ascii="宋体" w:hAnsi="宋体" w:cs="宋体"/>
          <w:bCs/>
          <w:color w:val="000000"/>
          <w:kern w:val="2"/>
          <w:highlight w:val="none"/>
        </w:rPr>
        <w:t>》，以及对该文件的有效修改与补充。</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杭银理财幸福99季添益1910期理财</w:t>
      </w:r>
      <w:r>
        <w:rPr>
          <w:rFonts w:hint="eastAsia" w:ascii="宋体" w:hAnsi="宋体" w:cs="宋体"/>
          <w:bCs/>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杭银理财幸福99季添益1910期理财</w:t>
      </w:r>
      <w:r>
        <w:rPr>
          <w:rFonts w:hint="eastAsia" w:ascii="宋体" w:hAnsi="宋体" w:cs="宋体"/>
          <w:bCs/>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杭银理财幸福99季添益1910期理财</w:t>
      </w:r>
      <w:r>
        <w:rPr>
          <w:rFonts w:hint="eastAsia" w:ascii="宋体" w:hAnsi="宋体" w:cs="宋体"/>
          <w:bCs/>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杭银理财幸福99季添益1910期理财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20"/>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产品说明书</w:t>
      </w:r>
      <w:r>
        <w:rPr>
          <w:rFonts w:hint="eastAsia" w:ascii="宋体" w:hAnsi="宋体" w:cs="宋体"/>
          <w:bCs/>
          <w:color w:val="000000"/>
          <w:kern w:val="2"/>
          <w:highlight w:val="none"/>
        </w:rPr>
        <w:t>》《投资者权益须知》《理财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20"/>
        <w:numPr>
          <w:ilvl w:val="0"/>
          <w:numId w:val="13"/>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理财产品用语</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杭银理财幸福99季添益1910期理财</w:t>
      </w:r>
      <w:r>
        <w:rPr>
          <w:rFonts w:hint="eastAsia" w:ascii="宋体" w:hAnsi="宋体" w:cs="宋体"/>
          <w:bCs/>
          <w:highlight w:val="none"/>
        </w:rPr>
        <w:t>。</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20"/>
        <w:numPr>
          <w:ilvl w:val="0"/>
          <w:numId w:val="16"/>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20"/>
        <w:numPr>
          <w:ilvl w:val="0"/>
          <w:numId w:val="16"/>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w:t>
      </w:r>
      <w:r>
        <w:rPr>
          <w:rFonts w:hint="eastAsia" w:ascii="宋体" w:hAnsi="宋体" w:cs="宋体"/>
          <w:szCs w:val="21"/>
          <w:highlight w:val="none"/>
        </w:rPr>
        <w:t>〖</w:t>
      </w:r>
      <w:r>
        <w:rPr>
          <w:rFonts w:hint="eastAsia" w:ascii="宋体" w:hAnsi="宋体" w:cs="宋体"/>
          <w:bCs/>
          <w:color w:val="000000"/>
          <w:highlight w:val="none"/>
        </w:rPr>
        <w:t>上海证券交易所、深圳证券交易所</w:t>
      </w:r>
      <w:r>
        <w:rPr>
          <w:rFonts w:hint="eastAsia" w:ascii="宋体" w:hAnsi="宋体" w:cs="宋体"/>
          <w:szCs w:val="21"/>
          <w:highlight w:val="none"/>
        </w:rPr>
        <w:t>〗</w:t>
      </w:r>
      <w:r>
        <w:rPr>
          <w:rFonts w:hint="eastAsia" w:ascii="宋体" w:hAnsi="宋体" w:cs="宋体"/>
          <w:bCs/>
          <w:highlight w:val="none"/>
        </w:rPr>
        <w:t>的正常交易日。</w:t>
      </w:r>
      <w:r>
        <w:rPr>
          <w:rFonts w:hint="eastAsia" w:ascii="宋体" w:hAnsi="宋体" w:cs="宋体"/>
          <w:bCs/>
          <w:highlight w:val="none"/>
          <w:lang w:val="en-US" w:eastAsia="zh-CN"/>
        </w:rPr>
        <w:t>如涉及到监管条例部分，统一以监管条例表述替代。</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20"/>
        <w:numPr>
          <w:ilvl w:val="0"/>
          <w:numId w:val="16"/>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投资周期</w:t>
      </w:r>
      <w:r>
        <w:rPr>
          <w:rFonts w:hint="eastAsia" w:ascii="宋体" w:hAnsi="宋体" w:cs="宋体"/>
          <w:b/>
          <w:color w:val="000000"/>
          <w:kern w:val="2"/>
          <w:highlight w:val="none"/>
          <w:lang w:eastAsia="zh-CN"/>
        </w:rPr>
        <w:t>：</w:t>
      </w:r>
      <w:r>
        <w:rPr>
          <w:rFonts w:hint="eastAsia" w:ascii="宋体" w:hAnsi="宋体" w:cs="宋体"/>
          <w:b w:val="0"/>
          <w:bCs/>
          <w:color w:val="000000"/>
          <w:kern w:val="2"/>
          <w:highlight w:val="none"/>
          <w:lang w:eastAsia="zh-CN"/>
        </w:rPr>
        <w:t>指理财计划成立或申购</w:t>
      </w:r>
      <w:r>
        <w:rPr>
          <w:rFonts w:hint="eastAsia" w:ascii="宋体" w:hAnsi="宋体" w:cs="宋体"/>
          <w:b w:val="0"/>
          <w:bCs/>
          <w:color w:val="000000"/>
          <w:kern w:val="2"/>
          <w:highlight w:val="none"/>
          <w:lang w:val="en-US" w:eastAsia="zh-CN"/>
        </w:rPr>
        <w:t>/赎回</w:t>
      </w:r>
      <w:r>
        <w:rPr>
          <w:rFonts w:hint="eastAsia" w:ascii="宋体" w:hAnsi="宋体" w:cs="宋体"/>
          <w:b w:val="0"/>
          <w:bCs/>
          <w:color w:val="000000"/>
          <w:kern w:val="2"/>
          <w:highlight w:val="none"/>
          <w:lang w:eastAsia="zh-CN"/>
        </w:rPr>
        <w:t>开放期确认后，至下一个申购</w:t>
      </w:r>
      <w:r>
        <w:rPr>
          <w:rFonts w:hint="eastAsia" w:ascii="宋体" w:hAnsi="宋体" w:cs="宋体"/>
          <w:b w:val="0"/>
          <w:bCs/>
          <w:color w:val="000000"/>
          <w:kern w:val="2"/>
          <w:highlight w:val="none"/>
          <w:lang w:val="en-US" w:eastAsia="zh-CN"/>
        </w:rPr>
        <w:t>/赎回开放期确认前的时间。如申购和赎回开放期确认时间不一致，应明确以申购投资周期或赎回投资周期作为理财计划的投资周期。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资金到账日：</w:t>
      </w:r>
      <w:r>
        <w:rPr>
          <w:rFonts w:hint="eastAsia" w:ascii="宋体" w:hAnsi="宋体" w:cs="宋体"/>
          <w:bCs/>
          <w:highlight w:val="none"/>
        </w:rPr>
        <w:t>指理财计划终止运作后，资金返还至投资者账户的日期。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开放日：</w:t>
      </w:r>
      <w:r>
        <w:rPr>
          <w:rFonts w:hint="eastAsia" w:ascii="宋体" w:hAnsi="宋体" w:cs="宋体"/>
          <w:bCs/>
          <w:color w:val="000000"/>
          <w:kern w:val="2"/>
          <w:highlight w:val="none"/>
        </w:rPr>
        <w:t>指为投资者办理申购、赎回交易的日期。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确认日：</w:t>
      </w:r>
      <w:r>
        <w:rPr>
          <w:rFonts w:hint="eastAsia" w:ascii="宋体" w:hAnsi="宋体" w:cs="宋体"/>
          <w:bCs/>
          <w:color w:val="000000"/>
          <w:kern w:val="2"/>
          <w:highlight w:val="none"/>
        </w:rPr>
        <w:t>指管理人确认投资者申购</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lang w:val="en-US" w:eastAsia="zh-CN"/>
        </w:rPr>
        <w:t>赎回</w:t>
      </w:r>
      <w:r>
        <w:rPr>
          <w:rFonts w:hint="eastAsia" w:ascii="宋体" w:hAnsi="宋体" w:cs="宋体"/>
          <w:bCs/>
          <w:color w:val="000000"/>
          <w:kern w:val="2"/>
          <w:highlight w:val="none"/>
        </w:rPr>
        <w:t>交易是否有效的日期。</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申购：</w:t>
      </w:r>
      <w:r>
        <w:rPr>
          <w:rFonts w:hint="eastAsia" w:ascii="宋体" w:hAnsi="宋体" w:cs="宋体"/>
          <w:bCs/>
          <w:color w:val="000000"/>
          <w:kern w:val="2"/>
          <w:highlight w:val="none"/>
        </w:rPr>
        <w:t>指理财计划申购开放期内，投资者向管理人进行理财计划份额购买的行为。</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赎回：</w:t>
      </w:r>
      <w:r>
        <w:rPr>
          <w:rFonts w:hint="eastAsia" w:ascii="宋体" w:hAnsi="宋体" w:cs="宋体"/>
          <w:bCs/>
          <w:color w:val="000000"/>
          <w:kern w:val="2"/>
          <w:highlight w:val="none"/>
        </w:rPr>
        <w:t>指理财计划</w:t>
      </w:r>
      <w:r>
        <w:rPr>
          <w:rFonts w:hint="eastAsia" w:ascii="宋体" w:hAnsi="宋体" w:cs="宋体"/>
          <w:bCs/>
          <w:color w:val="000000"/>
          <w:kern w:val="2"/>
          <w:highlight w:val="none"/>
          <w:lang w:eastAsia="zh-CN"/>
        </w:rPr>
        <w:t>赎回</w:t>
      </w:r>
      <w:r>
        <w:rPr>
          <w:rFonts w:hint="eastAsia" w:ascii="宋体" w:hAnsi="宋体" w:cs="宋体"/>
          <w:bCs/>
          <w:color w:val="000000"/>
          <w:kern w:val="2"/>
          <w:highlight w:val="none"/>
        </w:rPr>
        <w:t>开放期内，投资者向管理人进行理财计划份额卖出的行为。</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000000"/>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20"/>
        <w:numPr>
          <w:ilvl w:val="0"/>
          <w:numId w:val="16"/>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投资退出期：</w:t>
      </w:r>
      <w:r>
        <w:rPr>
          <w:rFonts w:hint="eastAsia" w:ascii="Times New Roman" w:hAnsi="Times New Roman" w:eastAsia="宋体" w:cs="Times New Roman"/>
          <w:highlight w:val="none"/>
          <w:lang w:val="en-US" w:eastAsia="zh-CN"/>
        </w:rPr>
        <w:t>是指理财计划临近到期前，管理人通过资产变现用以进行资金交割清算的准备期。</w:t>
      </w:r>
    </w:p>
    <w:p>
      <w:pPr>
        <w:pStyle w:val="20"/>
        <w:numPr>
          <w:ilvl w:val="0"/>
          <w:numId w:val="13"/>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相关事件用语</w:t>
      </w:r>
    </w:p>
    <w:p>
      <w:pPr>
        <w:pStyle w:val="20"/>
        <w:numPr>
          <w:ilvl w:val="0"/>
          <w:numId w:val="17"/>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20"/>
        <w:adjustRightInd/>
        <w:spacing w:line="360" w:lineRule="auto"/>
        <w:ind w:firstLine="480" w:firstLineChars="200"/>
        <w:rPr>
          <w:bCs/>
          <w:highlight w:val="none"/>
        </w:rPr>
      </w:pPr>
      <w:r>
        <w:rPr>
          <w:rFonts w:hint="eastAsia" w:ascii="宋体" w:hAnsi="宋体" w:cs="宋体"/>
          <w:bCs/>
          <w:color w:val="000000"/>
          <w:kern w:val="2"/>
          <w:highlight w:val="none"/>
        </w:rPr>
        <w:t>（1）地震、台风、海啸、洪水、火灾、停电、瘟疫、突发公共卫生事件；</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（2）战争、政变、恐怖主义行动、骚乱、罢工；</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20"/>
        <w:numPr>
          <w:ilvl w:val="0"/>
          <w:numId w:val="18"/>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000000"/>
          <w:kern w:val="2"/>
          <w:highlight w:val="none"/>
        </w:rPr>
        <w:t>巨额赎回：</w:t>
      </w:r>
      <w:r>
        <w:rPr>
          <w:rFonts w:hint="eastAsia" w:ascii="宋体" w:hAnsi="宋体" w:cs="宋体"/>
          <w:bCs/>
          <w:color w:val="000000"/>
          <w:kern w:val="2"/>
          <w:highlight w:val="none"/>
        </w:rPr>
        <w:t>指理财计划的申购和赎回开放期内，理财计划任一开放日净赎回申请份额超过上一工作日日终理财计划总份额的10%，即为发生巨额赎回行为。</w:t>
      </w:r>
    </w:p>
    <w:p>
      <w:pPr>
        <w:pStyle w:val="20"/>
        <w:numPr>
          <w:ilvl w:val="0"/>
          <w:numId w:val="18"/>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000000"/>
          <w:kern w:val="2"/>
          <w:highlight w:val="none"/>
          <w:lang w:val="en-US" w:eastAsia="zh-CN"/>
        </w:rPr>
        <w:t>摆动定价机制：</w:t>
      </w:r>
      <w:r>
        <w:rPr>
          <w:rFonts w:hint="eastAsia" w:ascii="宋体" w:hAnsi="宋体" w:cs="宋体"/>
          <w:b w:val="0"/>
          <w:bCs/>
          <w:color w:val="000000"/>
          <w:kern w:val="2"/>
          <w:highlight w:val="none"/>
          <w:lang w:val="en-US" w:eastAsia="zh-CN"/>
        </w:rPr>
        <w:t>指当开放式公募理财计划遭遇大额申购或赎回时，通过调整理财计划份额净值的方式，将理财计划调整投资组合的市场冲击成本分配给实际认购、赎回的投资者，从而减少对存量理财计划份额持有人利益的不利影响。</w:t>
      </w:r>
    </w:p>
    <w:p>
      <w:pPr>
        <w:pStyle w:val="20"/>
        <w:numPr>
          <w:ilvl w:val="0"/>
          <w:numId w:val="18"/>
        </w:numPr>
        <w:adjustRightInd/>
        <w:spacing w:line="360" w:lineRule="auto"/>
        <w:ind w:firstLine="482" w:firstLineChars="200"/>
        <w:rPr>
          <w:rFonts w:hint="eastAsia" w:ascii="宋体" w:hAnsi="宋体" w:cs="宋体"/>
          <w:b/>
          <w:bCs w:val="0"/>
          <w:color w:val="auto"/>
          <w:kern w:val="2"/>
          <w:highlight w:val="none"/>
        </w:rPr>
      </w:pPr>
      <w:r>
        <w:rPr>
          <w:rFonts w:hint="eastAsia" w:ascii="宋体" w:hAnsi="宋体" w:cs="宋体"/>
          <w:b/>
          <w:bCs w:val="0"/>
          <w:color w:val="000000"/>
          <w:kern w:val="2"/>
          <w:highlight w:val="none"/>
          <w:lang w:val="en-US" w:eastAsia="zh-CN"/>
        </w:rPr>
        <w:t>短期赎回费机制：</w:t>
      </w:r>
      <w:r>
        <w:rPr>
          <w:rFonts w:hint="eastAsia" w:ascii="宋体" w:hAnsi="宋体" w:cs="宋体"/>
          <w:b w:val="0"/>
          <w:bCs/>
          <w:color w:val="000000"/>
          <w:kern w:val="2"/>
          <w:highlight w:val="none"/>
          <w:lang w:val="en-US" w:eastAsia="zh-CN"/>
        </w:rPr>
        <w:t>指当理财计划发生巨额赎回或管理人认为可能导致理财计划流动性风险的其他情形下，理财计划管理人可临时性收取短期赎回费以应对流动性风险事件，并将上述产生费用全额计入理财计划财产。</w:t>
      </w:r>
    </w:p>
    <w:p>
      <w:pPr>
        <w:pStyle w:val="20"/>
        <w:numPr>
          <w:ilvl w:val="0"/>
          <w:numId w:val="0"/>
        </w:numPr>
        <w:adjustRightInd/>
        <w:spacing w:line="360" w:lineRule="auto"/>
        <w:rPr>
          <w:rFonts w:hint="eastAsia" w:ascii="宋体" w:hAnsi="宋体" w:cs="宋体"/>
          <w:b/>
          <w:color w:val="auto"/>
          <w:kern w:val="2"/>
          <w:highlight w:val="none"/>
        </w:rPr>
      </w:pPr>
    </w:p>
    <w:p>
      <w:pPr>
        <w:pStyle w:val="20"/>
        <w:numPr>
          <w:ilvl w:val="0"/>
          <w:numId w:val="19"/>
        </w:numPr>
        <w:adjustRightInd/>
        <w:spacing w:line="360" w:lineRule="auto"/>
        <w:ind w:firstLine="482" w:firstLineChars="200"/>
        <w:outlineLvl w:val="9"/>
        <w:rPr>
          <w:rFonts w:hint="eastAsia" w:ascii="宋体" w:hAnsi="宋体" w:cs="宋体"/>
          <w:b/>
          <w:color w:val="auto"/>
          <w:kern w:val="2"/>
          <w:highlight w:val="none"/>
        </w:rPr>
      </w:pPr>
      <w:r>
        <w:rPr>
          <w:rFonts w:hint="eastAsia" w:ascii="宋体" w:hAnsi="宋体" w:cs="宋体"/>
          <w:b/>
          <w:color w:val="000000"/>
          <w:kern w:val="2"/>
          <w:highlight w:val="none"/>
        </w:rPr>
        <w:t>风险评级</w:t>
      </w:r>
    </w:p>
    <w:p>
      <w:pPr>
        <w:pStyle w:val="20"/>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R1</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R2</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中低</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R3</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R4</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中高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R5</w:t>
            </w:r>
          </w:p>
        </w:tc>
        <w:tc>
          <w:tcPr>
            <w:tcW w:w="1382"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rPr>
              <w:t>高</w:t>
            </w:r>
          </w:p>
        </w:tc>
        <w:tc>
          <w:tcPr>
            <w:tcW w:w="4755" w:type="dxa"/>
            <w:noWrap w:val="0"/>
            <w:vAlign w:val="top"/>
          </w:tcPr>
          <w:p>
            <w:pPr>
              <w:pStyle w:val="20"/>
              <w:keepNext w:val="0"/>
              <w:keepLines w:val="0"/>
              <w:suppressLineNumbers w:val="0"/>
              <w:adjustRightInd/>
              <w:spacing w:before="0" w:beforeAutospacing="0" w:after="0" w:afterAutospacing="0" w:line="360" w:lineRule="auto"/>
              <w:ind w:left="0" w:right="0"/>
              <w:jc w:val="center"/>
              <w:rPr>
                <w:rFonts w:hint="default" w:ascii="宋体" w:hAnsi="宋体" w:cs="宋体"/>
                <w:bCs/>
                <w:color w:val="auto"/>
                <w:kern w:val="2"/>
                <w:highlight w:val="none"/>
              </w:rPr>
            </w:pPr>
            <w:r>
              <w:rPr>
                <w:rFonts w:hint="eastAsia" w:ascii="宋体" w:hAnsi="宋体" w:cs="宋体"/>
                <w:bCs/>
                <w:color w:val="000000"/>
                <w:kern w:val="2"/>
                <w:highlight w:val="none"/>
                <w:lang w:eastAsia="zh-CN"/>
              </w:rPr>
              <w:t>激进型</w:t>
            </w:r>
          </w:p>
        </w:tc>
      </w:tr>
    </w:tbl>
    <w:p>
      <w:pPr>
        <w:pStyle w:val="20"/>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20"/>
        <w:adjustRightInd/>
        <w:spacing w:line="360" w:lineRule="auto"/>
        <w:rPr>
          <w:rFonts w:hint="eastAsia" w:ascii="宋体" w:hAnsi="宋体" w:cs="宋体"/>
          <w:b/>
          <w:color w:val="auto"/>
          <w:kern w:val="2"/>
          <w:highlight w:val="none"/>
        </w:rPr>
      </w:pPr>
    </w:p>
    <w:p>
      <w:pPr>
        <w:pStyle w:val="20"/>
        <w:numPr>
          <w:ilvl w:val="0"/>
          <w:numId w:val="19"/>
        </w:numPr>
        <w:adjustRightInd/>
        <w:spacing w:line="360" w:lineRule="auto"/>
        <w:outlineLvl w:val="9"/>
        <w:rPr>
          <w:rFonts w:hint="eastAsia" w:ascii="宋体" w:hAnsi="宋体" w:cs="宋体"/>
          <w:b/>
          <w:color w:val="auto"/>
          <w:kern w:val="2"/>
          <w:highlight w:val="none"/>
        </w:rPr>
      </w:pPr>
      <w:r>
        <w:rPr>
          <w:rFonts w:hint="eastAsia" w:ascii="宋体" w:hAnsi="宋体" w:cs="宋体"/>
          <w:b/>
          <w:color w:val="000000"/>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杭银理财幸福99季添益1910期理财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sz w:val="21"/>
                <w:szCs w:val="21"/>
                <w:highlight w:val="none"/>
                <w:lang w:eastAsia="zh-CN"/>
              </w:rPr>
            </w:pPr>
            <w:r>
              <w:rPr>
                <w:rFonts w:hint="eastAsia" w:ascii="宋体" w:hAnsi="宋体" w:cs="宋体"/>
                <w:color w:val="000000"/>
                <w:sz w:val="21"/>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季添益1910期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sz w:val="21"/>
                <w:szCs w:val="21"/>
                <w:highlight w:val="none"/>
              </w:rPr>
            </w:pPr>
            <w:r>
              <w:rPr>
                <w:rFonts w:hint="eastAsia" w:ascii="宋体" w:hAnsi="宋体" w:cs="宋体"/>
                <w:color w:val="000000"/>
                <w:sz w:val="21"/>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TYG3M1910</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Z7002221000281</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 w:val="21"/>
                <w:szCs w:val="21"/>
                <w:highlight w:val="none"/>
              </w:rPr>
              <w:t>。</w:t>
            </w:r>
            <w:r>
              <w:rPr>
                <w:rFonts w:hint="eastAsia" w:ascii="宋体" w:hAnsi="宋体" w:cs="宋体"/>
                <w:bCs/>
                <w:color w:val="000000"/>
                <w:kern w:val="2"/>
                <w:sz w:val="21"/>
                <w:szCs w:val="21"/>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其中：</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A份额（销售代码〖TYG3M1910〗）：普通个人投资者和机构客户。</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B份额（销售代码〖TYG3M1910B〗）：高净值等特邀客户专属。</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C份额（销售代码〖TYG3M1910C〗）：特定客群专属。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销售机构的〖营业网点、网上银行、手机银行〗等渠道购买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eastAsia="宋体" w:cs="宋体"/>
                <w:color w:val="000000"/>
                <w:kern w:val="2"/>
                <w:sz w:val="21"/>
                <w:szCs w:val="21"/>
                <w:highlight w:val="none"/>
                <w:lang w:val="en-US" w:eastAsia="zh-CN" w:bidi="ar-SA"/>
              </w:rPr>
              <w:t>〖100〗亿元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24</w:t>
            </w:r>
            <w:r>
              <w:rPr>
                <w:rFonts w:hint="eastAsia" w:ascii="宋体" w:hAnsi="宋体" w:cs="宋体"/>
                <w:color w:val="000000"/>
                <w:sz w:val="21"/>
                <w:szCs w:val="21"/>
                <w:highlight w:val="none"/>
              </w:rPr>
              <w:t>〗日-〖</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30</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2019</w:t>
            </w:r>
            <w:r>
              <w:rPr>
                <w:rFonts w:hint="eastAsia" w:ascii="宋体" w:hAnsi="宋体" w:cs="宋体"/>
                <w:color w:val="000000"/>
                <w:sz w:val="21"/>
                <w:szCs w:val="21"/>
                <w:highlight w:val="none"/>
              </w:rPr>
              <w:t>〗年〖</w:t>
            </w:r>
            <w:r>
              <w:rPr>
                <w:rFonts w:hint="eastAsia" w:ascii="宋体" w:hAnsi="宋体" w:eastAsia="宋体" w:cs="宋体"/>
                <w:color w:val="000000"/>
                <w:kern w:val="2"/>
                <w:sz w:val="21"/>
                <w:szCs w:val="21"/>
                <w:highlight w:val="none"/>
                <w:lang w:val="en-US" w:eastAsia="zh-CN" w:bidi="ar-SA"/>
              </w:rPr>
              <w:t>7</w:t>
            </w:r>
            <w:r>
              <w:rPr>
                <w:rFonts w:hint="eastAsia" w:ascii="宋体" w:hAnsi="宋体" w:cs="宋体"/>
                <w:color w:val="000000"/>
                <w:sz w:val="21"/>
                <w:szCs w:val="21"/>
                <w:highlight w:val="none"/>
              </w:rPr>
              <w:t>〗月〖</w:t>
            </w:r>
            <w:r>
              <w:rPr>
                <w:rFonts w:hint="eastAsia" w:ascii="宋体" w:hAnsi="宋体" w:eastAsia="宋体" w:cs="宋体"/>
                <w:color w:val="000000"/>
                <w:kern w:val="2"/>
                <w:sz w:val="21"/>
                <w:szCs w:val="21"/>
                <w:highlight w:val="none"/>
                <w:lang w:val="en-US" w:eastAsia="zh-CN" w:bidi="ar-SA"/>
              </w:rPr>
              <w:t>31</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无固定期限</w:t>
            </w:r>
            <w:r>
              <w:rPr>
                <w:rFonts w:hint="eastAsia" w:ascii="宋体" w:hAnsi="宋体" w:cs="宋体"/>
                <w:color w:val="000000"/>
                <w:sz w:val="21"/>
                <w:szCs w:val="21"/>
                <w:highlight w:val="none"/>
              </w:rPr>
              <w:t>（实际理财期限受制于管理人提前终止权等条款）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封闭期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sz w:val="21"/>
                <w:szCs w:val="21"/>
                <w:highlight w:val="none"/>
              </w:rPr>
            </w:pPr>
            <w:r>
              <w:rPr>
                <w:rFonts w:hint="eastAsia" w:ascii="宋体" w:hAnsi="宋体" w:eastAsia="宋体" w:cs="宋体"/>
                <w:color w:val="000000"/>
                <w:kern w:val="2"/>
                <w:sz w:val="21"/>
                <w:szCs w:val="21"/>
                <w:highlight w:val="none"/>
                <w:lang w:val="en-US" w:eastAsia="zh-CN" w:bidi="ar-S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〖A份额〗起点〖1〗元整，超过认购/申购起点部分，应为〖1〗元的整数倍。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〖B份额〗起点〖20〗万元整，超过认购/申购起点部分，应为〖1〗元的整数倍。</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〖C份额〗起点〖1〗元整，超过认购/申购起点部分，应为〖1〗元的整数倍。</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投资者全部赎回不再持有本理财计划份额后再次申购，视同首次申购处理。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〖2〗千万元</w:t>
            </w:r>
            <w:r>
              <w:rPr>
                <w:rFonts w:hint="eastAsia" w:ascii="宋体" w:hAnsi="宋体" w:cs="宋体"/>
                <w:color w:val="000000"/>
                <w:sz w:val="21"/>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rPr>
              <w:t>理财计划〖</w:t>
            </w:r>
            <w:r>
              <w:rPr>
                <w:rFonts w:hint="eastAsia" w:ascii="宋体" w:hAnsi="宋体" w:eastAsia="宋体" w:cs="宋体"/>
                <w:color w:val="000000"/>
                <w:kern w:val="2"/>
                <w:sz w:val="21"/>
                <w:szCs w:val="21"/>
                <w:highlight w:val="none"/>
                <w:lang w:val="en-US" w:eastAsia="zh-CN" w:bidi="ar-SA"/>
              </w:rPr>
              <w:t>每季</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开放一次，</w:t>
            </w:r>
            <w:r>
              <w:rPr>
                <w:rFonts w:hint="eastAsia" w:ascii="宋体" w:hAnsi="宋体" w:cs="宋体"/>
                <w:color w:val="000000"/>
                <w:sz w:val="21"/>
                <w:szCs w:val="21"/>
                <w:highlight w:val="none"/>
              </w:rPr>
              <w:t>具体开放期将以管理人公告为准</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如遇开放确认日为非工作日，则顺延至</w:t>
            </w:r>
            <w:r>
              <w:rPr>
                <w:rFonts w:hint="eastAsia" w:ascii="宋体" w:hAnsi="宋体" w:cs="宋体"/>
                <w:color w:val="000000"/>
                <w:sz w:val="21"/>
                <w:szCs w:val="21"/>
                <w:highlight w:val="none"/>
              </w:rPr>
              <w:t>〖下一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FF0000"/>
                <w:sz w:val="21"/>
                <w:szCs w:val="21"/>
                <w:highlight w:val="none"/>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申请将在确认日，即开放期后的第〖1〗个〖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进行确认。</w:t>
            </w:r>
            <w:r>
              <w:rPr>
                <w:rFonts w:hint="eastAsia" w:ascii="宋体" w:hAnsi="宋体" w:cs="宋体"/>
                <w:color w:val="000000"/>
                <w:sz w:val="21"/>
                <w:szCs w:val="21"/>
                <w:highlight w:val="none"/>
              </w:rPr>
              <w:t>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〗上午〖9:00〗至下午〖17:00〗。确认日如遇非〖</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〗，则顺延至〖下一</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default" w:ascii="宋体" w:hAnsi="宋体" w:eastAsia="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3.认购/开放期内提交的交易申请，在理财计划成立日/确认日前一日下午</w:t>
            </w:r>
            <w:r>
              <w:rPr>
                <w:rFonts w:hint="eastAsia" w:ascii="宋体" w:hAnsi="宋体" w:cs="宋体"/>
                <w:color w:val="000000"/>
                <w:sz w:val="21"/>
                <w:szCs w:val="21"/>
                <w:highlight w:val="none"/>
              </w:rPr>
              <w:t>〖17:00〗</w:t>
            </w:r>
            <w:r>
              <w:rPr>
                <w:rFonts w:hint="eastAsia" w:ascii="宋体" w:hAnsi="宋体" w:cs="宋体"/>
                <w:color w:val="000000"/>
                <w:kern w:val="0"/>
                <w:sz w:val="21"/>
                <w:szCs w:val="21"/>
                <w:highlight w:val="none"/>
                <w:lang w:val="en-US" w:eastAsia="zh-CN"/>
              </w:rPr>
              <w:t>之前可以撤单。</w:t>
            </w:r>
            <w:r>
              <w:rPr>
                <w:rFonts w:hint="eastAsia" w:ascii="宋体" w:hAnsi="宋体" w:cs="宋体"/>
                <w:color w:val="000000"/>
                <w:kern w:val="0"/>
                <w:sz w:val="21"/>
                <w:szCs w:val="21"/>
                <w:highlight w:val="none"/>
              </w:rPr>
              <w:t>（具体以销售机构规定为准）</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auto"/>
                <w:sz w:val="21"/>
                <w:szCs w:val="21"/>
                <w:highlight w:val="none"/>
                <w:lang w:val="en-US" w:eastAsia="zh-CN"/>
              </w:rPr>
            </w:pPr>
            <w:r>
              <w:rPr>
                <w:rFonts w:hint="eastAsia" w:ascii="宋体" w:hAnsi="宋体" w:cs="宋体"/>
                <w:bCs/>
                <w:color w:val="000000"/>
                <w:sz w:val="21"/>
                <w:szCs w:val="21"/>
                <w:highlight w:val="none"/>
                <w:lang w:val="en-US" w:eastAsia="zh-CN"/>
              </w:rPr>
              <w:t>4.上述交易安排如有调整，请以管理人公告为准。</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auto"/>
                <w:sz w:val="21"/>
                <w:szCs w:val="21"/>
                <w:highlight w:val="none"/>
                <w:lang w:val="en-US" w:eastAsia="zh-CN"/>
              </w:rPr>
            </w:pPr>
            <w:r>
              <w:rPr>
                <w:rFonts w:hint="eastAsia" w:ascii="宋体" w:hAnsi="宋体" w:cs="宋体"/>
                <w:bCs/>
                <w:color w:val="000000"/>
                <w:sz w:val="21"/>
                <w:szCs w:val="21"/>
                <w:highlight w:val="none"/>
                <w:lang w:val="en-US" w:eastAsia="zh-CN"/>
              </w:rPr>
              <w:t>5.如投资者在一个投资周期开放期内未提出赎回申请，则该投资周期终止后，投资者的理财资金继续进入下一个投资周期进行理财运作。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理财计划存续期内，若理财计划开放日净赎回申请份额超过上一日日终理财计划总份额〖10%〗时，管理人有权暂停或拒绝接受赎回申请，并最迟于下一工作日进行对外公告。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rPr>
            </w:pPr>
            <w:r>
              <w:rPr>
                <w:rFonts w:hint="eastAsia" w:ascii="宋体" w:hAnsi="宋体" w:cs="宋体"/>
                <w:color w:val="000000"/>
                <w:sz w:val="21"/>
                <w:szCs w:val="21"/>
                <w:highlight w:val="none"/>
                <w:lang w:val="en-US" w:eastAsia="zh-CN"/>
              </w:rPr>
              <w:t>1.单户持有份额</w:t>
            </w:r>
            <w:r>
              <w:rPr>
                <w:rFonts w:hint="eastAsia" w:ascii="宋体" w:hAnsi="宋体" w:cs="宋体"/>
                <w:color w:val="000000"/>
                <w:sz w:val="21"/>
                <w:szCs w:val="21"/>
                <w:highlight w:val="none"/>
              </w:rPr>
              <w:t>〖</w:t>
            </w:r>
            <w:r>
              <w:rPr>
                <w:rFonts w:hint="eastAsia"/>
                <w:color w:val="000000"/>
                <w:lang w:eastAsia="zh-CN"/>
              </w:rPr>
              <w:t>b</w:t>
            </w:r>
            <w:r>
              <w:rPr>
                <w:rFonts w:hint="eastAsia" w:ascii="宋体" w:hAnsi="宋体" w:cs="宋体"/>
                <w:color w:val="000000"/>
                <w:sz w:val="21"/>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a.可以超过理财计划总份额的50%，但理财计划不得向个人投资者公开销售。</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b.不得超过理财计划总份额的50%。</w:t>
            </w:r>
          </w:p>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kern w:val="2"/>
                <w:sz w:val="21"/>
                <w:szCs w:val="21"/>
                <w:highlight w:val="none"/>
                <w:lang w:val="en-US" w:eastAsia="zh-CN" w:bidi="ar-SA"/>
              </w:rPr>
            </w:pPr>
            <w:r>
              <w:rPr>
                <w:rFonts w:hint="eastAsia" w:ascii="宋体" w:hAnsi="宋体" w:cs="宋体"/>
                <w:color w:val="000000"/>
                <w:sz w:val="21"/>
                <w:szCs w:val="21"/>
                <w:highlight w:val="none"/>
                <w:lang w:val="en-US" w:eastAsia="zh-CN"/>
              </w:rPr>
              <w:t>2.</w:t>
            </w:r>
            <w:r>
              <w:rPr>
                <w:rFonts w:hint="eastAsia" w:ascii="宋体" w:hAnsi="宋体" w:eastAsia="宋体" w:cs="宋体"/>
                <w:color w:val="000000"/>
                <w:kern w:val="2"/>
                <w:sz w:val="21"/>
                <w:szCs w:val="21"/>
                <w:highlight w:val="none"/>
                <w:lang w:val="en-US" w:eastAsia="zh-CN" w:bidi="ar-SA"/>
              </w:rPr>
              <w:t>〖A份额〗单户持有上限为〖1〗亿元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〖B份额〗单户持有上限为〖1〗亿元</w:t>
            </w:r>
            <w:r>
              <w:rPr>
                <w:rFonts w:hint="eastAsia" w:ascii="宋体" w:hAnsi="宋体" w:eastAsia="宋体" w:cs="宋体"/>
                <w:color w:val="000000"/>
                <w:kern w:val="2"/>
                <w:sz w:val="21"/>
                <w:szCs w:val="21"/>
                <w:highlight w:val="none"/>
                <w:lang w:val="en-US" w:eastAsia="zh-CN" w:bidi="ar-SA"/>
              </w:rPr>
              <w:br w:type="textWrapping"/>
            </w:r>
            <w:r>
              <w:rPr>
                <w:rFonts w:hint="eastAsia" w:ascii="宋体" w:hAnsi="宋体" w:eastAsia="宋体" w:cs="宋体"/>
                <w:color w:val="000000"/>
                <w:kern w:val="2"/>
                <w:sz w:val="21"/>
                <w:szCs w:val="21"/>
                <w:highlight w:val="none"/>
                <w:lang w:val="en-US" w:eastAsia="zh-CN" w:bidi="ar-SA"/>
              </w:rPr>
              <w:t>〖C份额〗单户持有上限为〖1〗亿元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Cs/>
                <w:color w:val="000000"/>
                <w:sz w:val="21"/>
                <w:szCs w:val="21"/>
                <w:highlight w:val="none"/>
              </w:rPr>
              <w:t>申购份额=申购金额÷确认日</w:t>
            </w:r>
            <w:r>
              <w:rPr>
                <w:rFonts w:hint="eastAsia" w:ascii="宋体" w:hAnsi="宋体" w:cs="宋体"/>
                <w:bCs/>
                <w:color w:val="000000"/>
                <w:sz w:val="21"/>
                <w:szCs w:val="21"/>
                <w:highlight w:val="none"/>
                <w:lang w:eastAsia="zh-CN"/>
              </w:rPr>
              <w:t>前一</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color w:val="000000"/>
                <w:sz w:val="21"/>
                <w:szCs w:val="21"/>
                <w:highlight w:val="none"/>
              </w:rPr>
              <w:t>回份额×确认日</w:t>
            </w:r>
            <w:r>
              <w:rPr>
                <w:rFonts w:hint="eastAsia" w:ascii="宋体" w:hAnsi="宋体" w:cs="宋体"/>
                <w:bCs/>
                <w:color w:val="000000"/>
                <w:sz w:val="21"/>
                <w:szCs w:val="21"/>
                <w:highlight w:val="none"/>
                <w:lang w:eastAsia="zh-CN"/>
              </w:rPr>
              <w:t>前一</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 w:val="21"/>
                <w:szCs w:val="21"/>
                <w:highlight w:val="none"/>
              </w:rPr>
              <w:t>〗</w:t>
            </w:r>
            <w:r>
              <w:rPr>
                <w:rFonts w:hint="eastAsia" w:ascii="宋体" w:hAnsi="宋体" w:cs="宋体"/>
                <w:bCs/>
                <w:color w:val="000000"/>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 w:val="21"/>
                <w:szCs w:val="21"/>
                <w:highlight w:val="none"/>
              </w:rPr>
              <w:t>理财计划总份额，</w:t>
            </w:r>
            <w:r>
              <w:rPr>
                <w:rFonts w:hint="eastAsia" w:ascii="宋体" w:hAnsi="宋体" w:eastAsia="宋体" w:cs="宋体"/>
                <w:color w:val="000000"/>
                <w:kern w:val="2"/>
                <w:sz w:val="21"/>
                <w:szCs w:val="21"/>
                <w:highlight w:val="none"/>
                <w:lang w:val="en-US" w:eastAsia="zh-CN" w:bidi="ar-SA"/>
              </w:rPr>
              <w:t>单位净值〖保留小数点后四位〗，〖四位后去尾〗</w:t>
            </w:r>
            <w:r>
              <w:rPr>
                <w:rFonts w:hint="eastAsia" w:ascii="宋体" w:hAnsi="宋体" w:cs="宋体"/>
                <w:color w:val="000000"/>
                <w:sz w:val="21"/>
                <w:szCs w:val="21"/>
                <w:highlight w:val="none"/>
                <w:lang w:eastAsia="zh-CN"/>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eastAsia="宋体" w:cs="宋体"/>
                <w:color w:val="000000"/>
                <w:kern w:val="2"/>
                <w:sz w:val="21"/>
                <w:szCs w:val="21"/>
                <w:highlight w:val="none"/>
                <w:lang w:val="en-US" w:eastAsia="zh-CN" w:bidi="ar-SA"/>
              </w:rPr>
              <w:t>〖确认日当日〗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highlight w:val="none"/>
                <w:lang w:val="en-US" w:eastAsia="zh-CN" w:bidi="ar-SA"/>
              </w:rPr>
              <w:t>确认日后〖2〗个〖工作日〗内</w:t>
            </w:r>
            <w:r>
              <w:rPr>
                <w:rFonts w:hint="eastAsia" w:ascii="宋体" w:hAnsi="宋体" w:cs="宋体"/>
                <w:color w:val="000000"/>
                <w:sz w:val="21"/>
                <w:szCs w:val="21"/>
                <w:highlight w:val="none"/>
              </w:rPr>
              <w:t>（遇节假日顺延）支付。如遇资金在途或法定工作日调整，实际资金到账日以公告为准。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w:t>
            </w:r>
            <w:r>
              <w:rPr>
                <w:rFonts w:hint="eastAsia" w:ascii="宋体" w:hAnsi="宋体" w:cs="宋体"/>
                <w:color w:val="000000"/>
                <w:sz w:val="21"/>
                <w:szCs w:val="21"/>
                <w:highlight w:val="none"/>
                <w:lang w:eastAsia="zh-CN"/>
              </w:rPr>
              <w:t>确认</w:t>
            </w:r>
            <w:r>
              <w:rPr>
                <w:rFonts w:hint="eastAsia" w:ascii="宋体" w:hAnsi="宋体" w:cs="宋体"/>
                <w:color w:val="000000"/>
                <w:sz w:val="21"/>
                <w:szCs w:val="21"/>
                <w:highlight w:val="none"/>
              </w:rPr>
              <w:t>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 w:val="21"/>
                <w:szCs w:val="21"/>
                <w:highlight w:val="none"/>
              </w:rPr>
              <w:t>，最晚</w:t>
            </w:r>
            <w:r>
              <w:rPr>
                <w:rFonts w:hint="eastAsia" w:ascii="宋体" w:hAnsi="宋体" w:eastAsia="宋体" w:cs="宋体"/>
                <w:color w:val="000000"/>
                <w:kern w:val="2"/>
                <w:sz w:val="21"/>
                <w:szCs w:val="21"/>
                <w:lang w:val="en-US" w:eastAsia="zh-CN" w:bidi="ar"/>
              </w:rPr>
              <w:t>〖3〗个〖工作日〗</w:t>
            </w:r>
            <w:r>
              <w:rPr>
                <w:rFonts w:hint="eastAsia" w:ascii="宋体" w:hAnsi="宋体" w:cs="宋体"/>
                <w:color w:val="000000"/>
                <w:sz w:val="21"/>
                <w:szCs w:val="21"/>
                <w:highlight w:val="none"/>
              </w:rPr>
              <w:t>内（遇节假日顺延）支付。如遇资金在途或法定工作日调整，实际资金到账日以公告为准。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在满足收益分配基准日理财计划份额净值大于1元的情况下，管理人将〖</w:t>
            </w:r>
            <w:r>
              <w:rPr>
                <w:rFonts w:hint="eastAsia" w:ascii="宋体" w:hAnsi="宋体" w:cs="宋体"/>
                <w:color w:val="000000"/>
                <w:sz w:val="21"/>
                <w:szCs w:val="21"/>
                <w:highlight w:val="none"/>
                <w:lang w:eastAsia="zh-CN"/>
              </w:rPr>
              <w:t>不</w:t>
            </w:r>
            <w:r>
              <w:rPr>
                <w:rFonts w:hint="eastAsia" w:ascii="宋体" w:hAnsi="宋体" w:cs="宋体"/>
                <w:color w:val="000000"/>
                <w:sz w:val="21"/>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本理财计划〖A份额〗业绩比较基准为〖中债-新综合指数(1年以下)全价指数×90%+中国人民银行公布的个人活期存款利率×10%〗（年化）。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本理财计划〖B份额〗业绩比较基准为〖中债-新综合指数(1年以下)全价指数×90%+中国人民银行公布的个人活期存款利率×10%〗（年化）。</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本理财计划〖C份额〗业绩比较基准为〖中债-新综合指数(1年以下)全价指数×90%+中国人民银行公布的个人活期存款利率×10%〗（年化）。</w:t>
            </w:r>
          </w:p>
          <w:p>
            <w:pPr>
              <w:keepNext w:val="0"/>
              <w:keepLines w:val="0"/>
              <w:widowControl w:val="0"/>
              <w:suppressLineNumbers w:val="0"/>
              <w:spacing w:before="0" w:beforeAutospacing="0" w:after="0" w:afterAutospacing="0" w:line="360" w:lineRule="auto"/>
              <w:ind w:left="0" w:right="0"/>
              <w:jc w:val="both"/>
              <w:rPr>
                <w:rFonts w:hint="eastAsia" w:ascii="宋体" w:hAnsi="宋体" w:cs="宋体"/>
                <w:b/>
                <w:bCs/>
                <w:color w:val="FF0000"/>
                <w:sz w:val="21"/>
                <w:szCs w:val="21"/>
                <w:highlight w:val="none"/>
              </w:rPr>
            </w:pPr>
            <w:r>
              <w:rPr>
                <w:rFonts w:hint="eastAsia" w:ascii="宋体" w:hAnsi="宋体" w:cs="宋体"/>
                <w:b/>
                <w:bCs/>
                <w:color w:val="000000"/>
                <w:sz w:val="21"/>
                <w:szCs w:val="21"/>
                <w:highlight w:val="none"/>
              </w:rPr>
              <w:t>业绩基准测算依据：</w:t>
            </w:r>
            <w:r>
              <w:rPr>
                <w:rFonts w:hint="eastAsia" w:ascii="宋体" w:hAnsi="宋体" w:eastAsia="宋体" w:cs="宋体"/>
                <w:b/>
                <w:bCs/>
                <w:color w:val="000000"/>
                <w:kern w:val="2"/>
                <w:sz w:val="21"/>
                <w:szCs w:val="21"/>
                <w:lang w:val="en-US" w:eastAsia="zh-CN" w:bidi="ar"/>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r>
              <w:rPr>
                <w:rFonts w:hint="eastAsia" w:ascii="宋体" w:hAnsi="宋体" w:cs="宋体"/>
                <w:b/>
                <w:bCs/>
                <w:color w:val="000000"/>
                <w:sz w:val="21"/>
                <w:szCs w:val="21"/>
                <w:highlight w:val="none"/>
              </w:rPr>
              <w:t>。</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sz w:val="21"/>
                <w:szCs w:val="21"/>
                <w:highlight w:val="none"/>
              </w:rPr>
            </w:pPr>
            <w:r>
              <w:rPr>
                <w:rFonts w:hint="eastAsia" w:ascii="宋体" w:hAnsi="宋体" w:cs="宋体"/>
                <w:color w:val="000000"/>
                <w:sz w:val="21"/>
                <w:szCs w:val="21"/>
                <w:highlight w:val="none"/>
              </w:rPr>
              <w:t>管理人有权根据市场情况及</w:t>
            </w:r>
            <w:r>
              <w:rPr>
                <w:rFonts w:hint="eastAsia" w:ascii="宋体" w:hAnsi="宋体" w:cs="宋体"/>
                <w:color w:val="000000"/>
                <w:sz w:val="21"/>
                <w:szCs w:val="21"/>
                <w:highlight w:val="none"/>
                <w:lang w:eastAsia="zh-CN"/>
              </w:rPr>
              <w:t>理财计划</w:t>
            </w:r>
            <w:r>
              <w:rPr>
                <w:rFonts w:hint="eastAsia" w:ascii="宋体" w:hAnsi="宋体" w:cs="宋体"/>
                <w:color w:val="000000"/>
                <w:sz w:val="21"/>
                <w:szCs w:val="21"/>
                <w:highlight w:val="none"/>
              </w:rPr>
              <w:t>运作情况调整业绩基准，并至少于新业绩基准启用前</w:t>
            </w:r>
            <w:r>
              <w:rPr>
                <w:rFonts w:hint="eastAsia" w:ascii="宋体" w:hAnsi="宋体" w:cs="宋体"/>
                <w:color w:val="000000"/>
                <w:kern w:val="0"/>
                <w:sz w:val="21"/>
                <w:szCs w:val="21"/>
                <w:highlight w:val="none"/>
              </w:rPr>
              <w:t>〖</w:t>
            </w:r>
            <w:r>
              <w:rPr>
                <w:rFonts w:hint="eastAsia" w:ascii="宋体" w:hAnsi="宋体" w:cs="宋体"/>
                <w:color w:val="000000"/>
                <w:kern w:val="0"/>
                <w:sz w:val="21"/>
                <w:szCs w:val="21"/>
                <w:highlight w:val="none"/>
                <w:lang w:val="en-US" w:eastAsia="zh-CN"/>
              </w:rPr>
              <w:t>2</w:t>
            </w:r>
            <w:r>
              <w:rPr>
                <w:rFonts w:hint="eastAsia" w:ascii="宋体" w:hAnsi="宋体" w:cs="宋体"/>
                <w:color w:val="000000"/>
                <w:kern w:val="0"/>
                <w:sz w:val="21"/>
                <w:szCs w:val="21"/>
                <w:highlight w:val="none"/>
              </w:rPr>
              <w:t>〗</w:t>
            </w:r>
            <w:r>
              <w:rPr>
                <w:rFonts w:hint="eastAsia" w:ascii="宋体" w:hAnsi="宋体" w:cs="宋体"/>
                <w:color w:val="000000"/>
                <w:sz w:val="21"/>
                <w:szCs w:val="21"/>
                <w:highlight w:val="none"/>
              </w:rPr>
              <w:t>个工作日公告。</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b/>
                <w:color w:val="000000"/>
                <w:sz w:val="21"/>
                <w:szCs w:val="21"/>
                <w:highlight w:val="none"/>
              </w:rPr>
              <w:t>本理财计划为净值型理财产品，其业绩表现将随市场波动具有不确定性。本公司提醒投资者关注，业绩比较基准</w:t>
            </w:r>
            <w:r>
              <w:rPr>
                <w:rFonts w:hint="eastAsia" w:ascii="宋体" w:hAnsi="宋体" w:cs="宋体"/>
                <w:b/>
                <w:color w:val="000000"/>
                <w:sz w:val="21"/>
                <w:szCs w:val="21"/>
                <w:highlight w:val="none"/>
                <w:lang w:eastAsia="zh-CN"/>
              </w:rPr>
              <w:t>不是预期收益率，</w:t>
            </w:r>
            <w:r>
              <w:rPr>
                <w:rFonts w:hint="eastAsia" w:ascii="宋体" w:hAnsi="宋体" w:cs="宋体"/>
                <w:b/>
                <w:color w:val="000000"/>
                <w:sz w:val="21"/>
                <w:szCs w:val="21"/>
                <w:highlight w:val="none"/>
              </w:rPr>
              <w:t>并不代表</w:t>
            </w:r>
            <w:r>
              <w:rPr>
                <w:rFonts w:hint="eastAsia" w:ascii="宋体" w:hAnsi="宋体" w:cs="宋体"/>
                <w:b/>
                <w:color w:val="000000"/>
                <w:sz w:val="21"/>
                <w:szCs w:val="21"/>
                <w:highlight w:val="none"/>
                <w:lang w:eastAsia="zh-CN"/>
              </w:rPr>
              <w:t>理财计划的未来表现和</w:t>
            </w:r>
            <w:r>
              <w:rPr>
                <w:rFonts w:hint="eastAsia" w:ascii="宋体" w:hAnsi="宋体" w:cs="宋体"/>
                <w:b/>
                <w:color w:val="000000"/>
                <w:sz w:val="21"/>
                <w:szCs w:val="21"/>
                <w:highlight w:val="none"/>
              </w:rPr>
              <w:t>实际收益率</w:t>
            </w:r>
            <w:r>
              <w:rPr>
                <w:rFonts w:hint="eastAsia" w:ascii="宋体" w:hAnsi="宋体" w:cs="宋体"/>
                <w:b/>
                <w:color w:val="000000"/>
                <w:sz w:val="21"/>
                <w:szCs w:val="21"/>
                <w:highlight w:val="none"/>
                <w:lang w:eastAsia="zh-CN"/>
              </w:rPr>
              <w:t>，不构成对理财计划收益的承诺</w:t>
            </w:r>
            <w:r>
              <w:rPr>
                <w:rFonts w:hint="eastAsia" w:ascii="宋体" w:hAnsi="宋体" w:cs="宋体"/>
                <w:b/>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〖B份额〗收取年化〖0.25%〗的销售服务费, 〖C份额〗收取年化〖0.20%〗的销售服务费。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eastAsia="宋体" w:cs="宋体"/>
                <w:color w:val="000000"/>
                <w:kern w:val="2"/>
                <w:sz w:val="21"/>
                <w:szCs w:val="21"/>
                <w:highlight w:val="none"/>
                <w:lang w:val="en-US" w:eastAsia="zh-CN" w:bidi="ar-SA"/>
              </w:rPr>
              <w:t>0.025</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〖A份额〗收取年化〖0.30%〗的固定管理费, 〖B份额〗收取年化〖0.30%〗的固定管理费, 〖C份额〗收取年化〖0.30%〗的固定管理费。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Cs/>
                <w:sz w:val="21"/>
                <w:szCs w:val="21"/>
                <w:highlight w:val="none"/>
              </w:rPr>
            </w:pPr>
            <w:r>
              <w:rPr>
                <w:rFonts w:hint="eastAsia" w:ascii="宋体" w:hAnsi="宋体" w:cs="宋体"/>
                <w:bCs/>
                <w:color w:val="000000"/>
                <w:sz w:val="21"/>
                <w:szCs w:val="21"/>
                <w:highlight w:val="none"/>
              </w:rPr>
              <w:t>5.申购费：</w:t>
            </w:r>
            <w:r>
              <w:rPr>
                <w:rFonts w:hint="eastAsia" w:ascii="宋体" w:hAnsi="宋体" w:cs="宋体"/>
                <w:color w:val="000000"/>
                <w:sz w:val="21"/>
                <w:szCs w:val="21"/>
                <w:highlight w:val="none"/>
              </w:rPr>
              <w:t>本理财计划免除申购费。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bCs/>
                <w:sz w:val="21"/>
                <w:szCs w:val="21"/>
                <w:highlight w:val="none"/>
              </w:rPr>
            </w:pPr>
            <w:r>
              <w:rPr>
                <w:rFonts w:hint="eastAsia" w:ascii="宋体" w:hAnsi="宋体" w:cs="宋体"/>
                <w:bCs/>
                <w:color w:val="000000"/>
                <w:sz w:val="21"/>
                <w:szCs w:val="21"/>
                <w:highlight w:val="none"/>
              </w:rPr>
              <w:t>6.赎回费：</w:t>
            </w:r>
            <w:r>
              <w:rPr>
                <w:rFonts w:hint="eastAsia" w:ascii="宋体" w:hAnsi="宋体" w:cs="宋体"/>
                <w:color w:val="000000"/>
                <w:sz w:val="21"/>
                <w:szCs w:val="21"/>
                <w:highlight w:val="none"/>
              </w:rPr>
              <w:t>本理财计划免除赎回费</w:t>
            </w:r>
            <w:r>
              <w:rPr>
                <w:rFonts w:hint="eastAsia" w:ascii="宋体" w:hAnsi="宋体" w:cs="宋体"/>
                <w:color w:val="000000"/>
                <w:sz w:val="21"/>
                <w:szCs w:val="21"/>
                <w:highlight w:val="none"/>
                <w:lang w:eastAsia="zh-CN"/>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2"/>
                <w:sz w:val="21"/>
                <w:szCs w:val="21"/>
                <w:highlight w:val="none"/>
                <w:lang w:val="en-US" w:eastAsia="zh-CN" w:bidi="ar-SA"/>
              </w:rPr>
            </w:pPr>
            <w:r>
              <w:rPr>
                <w:rFonts w:hint="eastAsia" w:ascii="宋体" w:hAnsi="宋体" w:cs="宋体"/>
                <w:color w:val="000000"/>
                <w:sz w:val="21"/>
                <w:szCs w:val="21"/>
                <w:highlight w:val="none"/>
              </w:rPr>
              <w:t>7.浮动管理费</w:t>
            </w:r>
            <w:r>
              <w:rPr>
                <w:rFonts w:hint="eastAsia" w:ascii="宋体" w:hAnsi="宋体" w:cs="宋体"/>
                <w:color w:val="000000"/>
                <w:sz w:val="21"/>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A份额〗投资周期的折合年化收益率超过〖2.3%〗的部分，管理人提取〖50%〗作为浮动管理费；〖B份额〗投资周期的折合年化收益率超过〖2.35%〗的部分，管理人提取〖50%〗作为浮动管理费；〖C份额〗投资周期的折合年化收益率超过〖2.4%〗的部分，管理人提取〖50%〗作为浮动管理费。</w:t>
            </w:r>
            <w:r>
              <w:rPr>
                <w:rFonts w:hint="eastAsia" w:ascii="宋体" w:hAnsi="宋体" w:cs="宋体"/>
                <w:color w:val="000000"/>
                <w:kern w:val="2"/>
                <w:sz w:val="21"/>
                <w:szCs w:val="21"/>
                <w:highlight w:val="none"/>
                <w:lang w:val="en-US" w:eastAsia="zh-CN" w:bidi="ar-SA"/>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kern w:val="2"/>
                <w:sz w:val="21"/>
                <w:szCs w:val="21"/>
                <w:highlight w:val="none"/>
                <w:lang w:val="en-US" w:eastAsia="zh-CN" w:bidi="ar-SA"/>
              </w:rPr>
            </w:pPr>
            <w:r>
              <w:rPr>
                <w:rFonts w:hint="eastAsia" w:ascii="宋体" w:hAnsi="宋体" w:cs="宋体"/>
                <w:color w:val="000000"/>
                <w:kern w:val="2"/>
                <w:sz w:val="21"/>
                <w:szCs w:val="21"/>
                <w:highlight w:val="none"/>
                <w:lang w:val="en-US" w:eastAsia="zh-CN" w:bidi="ar-SA"/>
              </w:rPr>
              <w:t>8.信息技术服务费：收取年化〖</w:t>
            </w:r>
            <w:r>
              <w:rPr>
                <w:rFonts w:hint="eastAsia" w:ascii="宋体" w:hAnsi="宋体" w:eastAsia="宋体" w:cs="宋体"/>
                <w:color w:val="000000"/>
                <w:kern w:val="2"/>
                <w:sz w:val="21"/>
                <w:szCs w:val="21"/>
                <w:highlight w:val="none"/>
                <w:lang w:val="en-US" w:eastAsia="zh-CN" w:bidi="ar-SA"/>
              </w:rPr>
              <w:t>--</w:t>
            </w:r>
            <w:r>
              <w:rPr>
                <w:rFonts w:hint="eastAsia" w:ascii="宋体" w:hAnsi="宋体" w:cs="宋体"/>
                <w:color w:val="000000"/>
                <w:kern w:val="2"/>
                <w:sz w:val="21"/>
                <w:szCs w:val="21"/>
                <w:highlight w:val="none"/>
                <w:lang w:val="en-US" w:eastAsia="zh-CN" w:bidi="ar-SA"/>
              </w:rPr>
              <w:t>%〗的信息技术服务费。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 w:val="21"/>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bookmarkStart w:id="0" w:name="_GoBack"/>
      <w:bookmarkEnd w:id="0"/>
    </w:p>
    <w:p>
      <w:pPr>
        <w:numPr>
          <w:ilvl w:val="0"/>
          <w:numId w:val="20"/>
        </w:numPr>
        <w:spacing w:line="360" w:lineRule="auto"/>
        <w:ind w:firstLine="482" w:firstLineChars="200"/>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本理财计划主要投资于符合监管要求的各类资产：</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1. 固定收益类资产：包括但不限于各类债券、存款、货币市场金融工具、债券基金、质押式及买断式回购，其他符合监管要求的固定收益类资产及资产管理产品。</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 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本理财计划各投资资产占</w:t>
      </w:r>
      <w:r>
        <w:rPr>
          <w:rFonts w:hint="eastAsia" w:ascii="宋体" w:hAnsi="宋体" w:cs="宋体"/>
          <w:bCs/>
          <w:color w:val="000000"/>
          <w:sz w:val="24"/>
          <w:highlight w:val="none"/>
          <w:lang w:eastAsia="zh-CN"/>
        </w:rPr>
        <w:t>总</w:t>
      </w:r>
      <w:r>
        <w:rPr>
          <w:rFonts w:hint="eastAsia" w:ascii="宋体" w:hAnsi="宋体" w:cs="宋体"/>
          <w:bCs/>
          <w:color w:val="000000"/>
          <w:sz w:val="24"/>
          <w:highlight w:val="none"/>
        </w:rPr>
        <w:t>资产的配置比例如下：</w:t>
      </w:r>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4500"/>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Align w:val="center"/>
          </w:tcPr>
          <w:p>
            <w:pPr>
              <w:jc w:val="center"/>
              <w:textAlignment w:val="center"/>
            </w:pPr>
          </w:p>
        </w:tc>
        <w:tc>
          <w:tcPr>
            <w:tcW w:w="4500" w:type="dxa"/>
            <w:vAlign w:val="center"/>
          </w:tcPr>
          <w:p>
            <w:pPr>
              <w:jc w:val="center"/>
              <w:textAlignment w:val="center"/>
            </w:pPr>
            <w:r>
              <w:rPr>
                <w:rFonts w:ascii="宋体" w:hAnsi="宋体" w:eastAsia="宋体" w:cs="宋体"/>
              </w:rPr>
              <w:t>投资资产</w:t>
            </w:r>
          </w:p>
        </w:tc>
        <w:tc>
          <w:tcPr>
            <w:tcW w:w="2000" w:type="dxa"/>
            <w:vAlign w:val="center"/>
          </w:tcPr>
          <w:p>
            <w:pPr>
              <w:jc w:val="center"/>
              <w:textAlignment w:val="center"/>
            </w:pPr>
            <w:r>
              <w:rPr>
                <w:rFonts w:ascii="宋体" w:hAnsi="宋体" w:eastAsia="宋体" w:cs="宋体"/>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restart"/>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固定收益类资产</w:t>
            </w:r>
          </w:p>
        </w:tc>
        <w:tc>
          <w:tcPr>
            <w:tcW w:w="2000" w:type="dxa"/>
            <w:vAlign w:val="center"/>
          </w:tcPr>
          <w:p>
            <w:pPr>
              <w:jc w:val="center"/>
              <w:textAlignment w:val="center"/>
            </w:pPr>
            <w:r>
              <w:rPr>
                <w:rFonts w:ascii="宋体" w:hAnsi="宋体" w:eastAsia="宋体" w:cs="宋体"/>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trPr>
        <w:tc>
          <w:tcPr>
            <w:tcW w:w="2000" w:type="dxa"/>
            <w:vMerge w:val="continue"/>
            <w:vAlign w:val="center"/>
          </w:tcPr>
          <w:p>
            <w:pPr>
              <w:jc w:val="center"/>
              <w:textAlignment w:val="center"/>
            </w:pPr>
            <w:r>
              <w:rPr>
                <w:rFonts w:ascii="宋体" w:hAnsi="宋体" w:eastAsia="宋体" w:cs="宋体"/>
              </w:rPr>
              <w:t>大类资产类型</w:t>
            </w:r>
          </w:p>
        </w:tc>
        <w:tc>
          <w:tcPr>
            <w:tcW w:w="4500" w:type="dxa"/>
            <w:vAlign w:val="center"/>
          </w:tcPr>
          <w:p>
            <w:pPr>
              <w:jc w:val="center"/>
              <w:textAlignment w:val="center"/>
            </w:pPr>
            <w:r>
              <w:rPr>
                <w:rFonts w:ascii="宋体" w:hAnsi="宋体" w:eastAsia="宋体" w:cs="宋体"/>
              </w:rPr>
              <w:t>权益类资产</w:t>
            </w:r>
          </w:p>
        </w:tc>
        <w:tc>
          <w:tcPr>
            <w:tcW w:w="2000" w:type="dxa"/>
            <w:vAlign w:val="center"/>
          </w:tcPr>
          <w:p>
            <w:pPr>
              <w:jc w:val="center"/>
              <w:textAlignment w:val="center"/>
            </w:pPr>
            <w:r>
              <w:rPr>
                <w:rFonts w:ascii="宋体" w:hAnsi="宋体" w:eastAsia="宋体" w:cs="宋体"/>
              </w:rPr>
              <w:t>0%-20%</w:t>
            </w:r>
          </w:p>
        </w:tc>
      </w:tr>
    </w:tbl>
    <w:p>
      <w:pPr>
        <w:pStyle w:val="20"/>
        <w:numPr>
          <w:ilvl w:val="0"/>
          <w:numId w:val="22"/>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本理财计划特殊资产类型为基于大类资产类型项下的进一步细化分类，其配置比例不得超过大类资产配置比例。</w:t>
      </w:r>
    </w:p>
    <w:p>
      <w:pPr>
        <w:pStyle w:val="20"/>
        <w:numPr>
          <w:ilvl w:val="0"/>
          <w:numId w:val="22"/>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在</w:t>
      </w:r>
      <w:r>
        <w:rPr>
          <w:rFonts w:hint="eastAsia" w:ascii="宋体" w:hAnsi="宋体" w:cs="宋体"/>
          <w:bCs/>
          <w:color w:val="000000"/>
          <w:kern w:val="2"/>
          <w:highlight w:val="none"/>
        </w:rPr>
        <w:t>理财计划存续期间如遇市场变化导致各类投资品投资比例暂时超出以上范围，为保护投资者利益，管理人将在流动性受限资产可出售、可转让或者恢复交易的15个交易日内调整至上述比例范围。</w:t>
      </w:r>
    </w:p>
    <w:p>
      <w:pPr>
        <w:pStyle w:val="20"/>
        <w:numPr>
          <w:ilvl w:val="0"/>
          <w:numId w:val="22"/>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20"/>
        <w:numPr>
          <w:ilvl w:val="0"/>
          <w:numId w:val="22"/>
        </w:numPr>
        <w:adjustRightInd/>
        <w:spacing w:line="360" w:lineRule="auto"/>
        <w:ind w:firstLine="456" w:firstLineChars="190"/>
        <w:rPr>
          <w:rFonts w:hint="eastAsia" w:ascii="宋体" w:hAnsi="宋体" w:cs="宋体"/>
          <w:bCs/>
          <w:color w:val="auto"/>
          <w:kern w:val="2"/>
          <w:highlight w:val="none"/>
          <w:lang w:val="en-US" w:eastAsia="zh-CN"/>
        </w:rPr>
      </w:pPr>
      <w:r>
        <w:rPr>
          <w:rFonts w:hint="eastAsia" w:ascii="宋体" w:hAnsi="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20"/>
        <w:numPr>
          <w:ilvl w:val="0"/>
          <w:numId w:val="22"/>
        </w:numPr>
        <w:adjustRightInd/>
        <w:spacing w:line="360" w:lineRule="auto"/>
        <w:ind w:firstLine="458" w:firstLineChars="190"/>
        <w:rPr>
          <w:rFonts w:hint="eastAsia" w:ascii="宋体" w:hAnsi="宋体" w:cs="宋体"/>
          <w:bCs/>
          <w:color w:val="auto"/>
          <w:kern w:val="2"/>
          <w:highlight w:val="none"/>
          <w:lang w:val="en-US" w:eastAsia="zh-CN"/>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投资策略</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hAnsi="宋体" w:eastAsia="宋体" w:cs="宋体"/>
          <w:b/>
          <w:bCs/>
          <w:color w:val="000000"/>
          <w:kern w:val="2"/>
          <w:sz w:val="24"/>
          <w:szCs w:val="24"/>
          <w:lang w:val="en-US" w:eastAsia="zh-CN" w:bidi="ar"/>
        </w:rPr>
        <w:t>本产品还可能根据市场行情，在监管政策允许的范围内，在适当的时机投资不高于理财产品总资产的</w:t>
      </w:r>
      <w:r>
        <w:rPr>
          <w:rFonts w:hint="eastAsia" w:ascii="宋体" w:hAnsi="Calibri" w:eastAsia="宋体" w:cs="宋体"/>
          <w:b/>
          <w:bCs/>
          <w:color w:val="000000"/>
          <w:kern w:val="2"/>
          <w:sz w:val="24"/>
          <w:szCs w:val="24"/>
          <w:lang w:val="en-US" w:eastAsia="zh-CN" w:bidi="ar"/>
        </w:rPr>
        <w:t>20%的资金于其他资产</w:t>
      </w:r>
      <w:r>
        <w:rPr>
          <w:rFonts w:hint="eastAsia" w:ascii="宋体" w:hAnsi="宋体" w:cs="宋体"/>
          <w:bCs/>
          <w:color w:val="000000"/>
          <w:sz w:val="24"/>
          <w:highlight w:val="none"/>
        </w:rPr>
        <w:t>。</w:t>
      </w:r>
    </w:p>
    <w:p>
      <w:pPr>
        <w:numPr>
          <w:ilvl w:val="0"/>
          <w:numId w:val="2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val="0"/>
          <w:bCs/>
          <w:sz w:val="24"/>
          <w:highlight w:val="none"/>
          <w:lang w:val="en-US" w:eastAsia="zh-CN"/>
        </w:rPr>
      </w:pPr>
      <w:r>
        <w:rPr>
          <w:rFonts w:hint="eastAsia" w:ascii="宋体" w:hAnsi="宋体" w:cs="宋体"/>
          <w:b w:val="0"/>
          <w:bCs/>
          <w:color w:val="000000"/>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管理人</w:t>
      </w:r>
      <w:r>
        <w:rPr>
          <w:rFonts w:hint="eastAsia" w:ascii="宋体" w:hAnsi="宋体" w:cs="宋体"/>
          <w:bCs/>
          <w:color w:val="000000"/>
          <w:sz w:val="24"/>
          <w:highlight w:val="none"/>
        </w:rPr>
        <w:t>发行的全部</w:t>
      </w:r>
      <w:r>
        <w:rPr>
          <w:rFonts w:hint="eastAsia" w:ascii="宋体" w:hAnsi="宋体"/>
          <w:color w:val="000000"/>
          <w:sz w:val="24"/>
          <w:highlight w:val="none"/>
        </w:rPr>
        <w:t>开放式公募</w:t>
      </w:r>
      <w:r>
        <w:rPr>
          <w:rFonts w:hint="eastAsia" w:ascii="宋体" w:hAnsi="宋体" w:cs="宋体"/>
          <w:bCs/>
          <w:color w:val="000000"/>
          <w:sz w:val="24"/>
          <w:highlight w:val="none"/>
        </w:rPr>
        <w:t>理财计划</w:t>
      </w:r>
      <w:r>
        <w:rPr>
          <w:rFonts w:hint="eastAsia" w:ascii="宋体" w:hAnsi="宋体"/>
          <w:color w:val="000000"/>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流动性限制</w:t>
      </w:r>
    </w:p>
    <w:p>
      <w:pPr>
        <w:numPr>
          <w:ilvl w:val="0"/>
          <w:numId w:val="2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本理财计划还应满足以下限制</w:t>
      </w:r>
      <w:r>
        <w:rPr>
          <w:rFonts w:hint="eastAsia" w:ascii="宋体" w:hAnsi="宋体" w:cs="宋体"/>
          <w:bCs/>
          <w:color w:val="000000"/>
          <w:sz w:val="24"/>
          <w:highlight w:val="none"/>
        </w:rPr>
        <w:t>【</w:t>
      </w:r>
      <w:r>
        <w:rPr>
          <w:rFonts w:hint="eastAsia" w:ascii="宋体" w:hAnsi="宋体" w:cs="宋体"/>
          <w:bCs/>
          <w:color w:val="000000"/>
          <w:sz w:val="24"/>
          <w:highlight w:val="none"/>
          <w:lang w:eastAsia="zh-CN"/>
        </w:rPr>
        <w:t>b</w:t>
      </w:r>
      <w:r>
        <w:rPr>
          <w:rFonts w:hint="eastAsia" w:ascii="宋体" w:hAnsi="宋体" w:cs="宋体"/>
          <w:bCs/>
          <w:color w:val="000000"/>
          <w:sz w:val="24"/>
          <w:highlight w:val="none"/>
        </w:rPr>
        <w:t>】</w:t>
      </w:r>
    </w:p>
    <w:p>
      <w:pPr>
        <w:numPr>
          <w:ilvl w:val="0"/>
          <w:numId w:val="27"/>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w:t>
      </w:r>
      <w:r>
        <w:rPr>
          <w:rFonts w:hint="eastAsia" w:ascii="宋体" w:hAnsi="宋体" w:cs="宋体"/>
          <w:bCs/>
          <w:color w:val="000000"/>
          <w:sz w:val="24"/>
          <w:highlight w:val="none"/>
        </w:rPr>
        <w:t>应当持有不低于该理财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资产净值5%的现金或者到期日在一年以内的国债、中央银行票据和政策性金融债券。</w:t>
      </w:r>
    </w:p>
    <w:p>
      <w:pPr>
        <w:numPr>
          <w:ilvl w:val="0"/>
          <w:numId w:val="27"/>
        </w:numPr>
        <w:spacing w:line="360" w:lineRule="auto"/>
        <w:ind w:firstLine="720" w:firstLineChars="3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本理财计划应当在开放日及开放日前7个工作日内持有不低于该理财计划资产净值5%的现金或者到期日在一年以内的国债、中央银行票据和政策性金融债券。</w:t>
      </w:r>
    </w:p>
    <w:p>
      <w:pPr>
        <w:numPr>
          <w:ilvl w:val="0"/>
          <w:numId w:val="27"/>
        </w:numPr>
        <w:spacing w:line="360" w:lineRule="auto"/>
        <w:ind w:firstLine="720" w:firstLineChars="300"/>
        <w:jc w:val="left"/>
        <w:rPr>
          <w:rFonts w:hint="default" w:ascii="宋体" w:hAnsi="宋体" w:eastAsia="宋体" w:cs="宋体"/>
          <w:bCs/>
          <w:sz w:val="24"/>
          <w:highlight w:val="none"/>
          <w:lang w:val="en-US" w:eastAsia="zh-CN"/>
        </w:rPr>
      </w:pPr>
      <w:r>
        <w:rPr>
          <w:rFonts w:hint="eastAsia" w:ascii="宋体" w:hAnsi="宋体" w:cs="宋体"/>
          <w:bCs/>
          <w:color w:val="000000"/>
          <w:sz w:val="24"/>
          <w:highlight w:val="none"/>
          <w:lang w:val="en-US" w:eastAsia="zh-CN"/>
        </w:rPr>
        <w:t>本理财计划不存在活跃交易市场，并且需要采用估值技术确定公允价值的资产比例不得超过理财产品净资产50%以上。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color w:val="000000"/>
          <w:sz w:val="24"/>
          <w:highlight w:val="none"/>
          <w:lang w:val="en-US" w:eastAsia="zh-CN"/>
        </w:rPr>
        <w:t>在开放日前一工作日内，本理财计划7个工作日可变现资产的可变现价值应当不低于该理财计划资产净值的10%。</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9"/>
        <w:rPr>
          <w:rFonts w:hint="eastAsia" w:ascii="宋体" w:hAnsi="宋体" w:cs="宋体"/>
          <w:b/>
          <w:bCs w:val="0"/>
          <w:sz w:val="24"/>
          <w:highlight w:val="none"/>
        </w:rPr>
      </w:pPr>
      <w:r>
        <w:rPr>
          <w:rFonts w:hint="eastAsia" w:ascii="宋体" w:hAnsi="宋体" w:cs="宋体"/>
          <w:b/>
          <w:bCs w:val="0"/>
          <w:color w:val="00000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9"/>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9"/>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9"/>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合作机构及主要职责</w:t>
      </w:r>
    </w:p>
    <w:p>
      <w:pPr>
        <w:numPr>
          <w:ilvl w:val="0"/>
          <w:numId w:val="31"/>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托管人</w:t>
      </w:r>
    </w:p>
    <w:tbl>
      <w:tblPr>
        <w:tblStyle w:val="11"/>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浙江省杭州市上城区解放东路168号，95398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1"/>
                <w:szCs w:val="21"/>
                <w:highlight w:val="none"/>
              </w:rPr>
            </w:pPr>
            <w:r>
              <w:rPr>
                <w:rFonts w:hint="eastAsia" w:ascii="宋体" w:hAnsi="宋体" w:cs="宋体"/>
                <w:bCs/>
                <w:color w:val="000000"/>
                <w:sz w:val="21"/>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sz w:val="21"/>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3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销售机构</w:t>
      </w:r>
    </w:p>
    <w:tbl>
      <w:tblPr>
        <w:tblStyle w:val="11"/>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杭州银行股份有限公司</w:t>
            </w:r>
          </w:p>
        </w:tc>
        <w:tc>
          <w:tcPr>
            <w:tcW w:w="1200" w:type="dxa"/>
            <w:vAlign w:val="center"/>
          </w:tcPr>
          <w:p>
            <w:pPr>
              <w:jc w:val="left"/>
            </w:pPr>
            <w:r>
              <w:t>住所</w:t>
            </w:r>
          </w:p>
        </w:tc>
        <w:tc>
          <w:tcPr>
            <w:tcW w:w="3800" w:type="dxa"/>
            <w:vAlign w:val="center"/>
          </w:tcPr>
          <w:p>
            <w:pPr>
              <w:jc w:val="center"/>
            </w:pPr>
            <w:r>
              <w:t>浙江省杭州市上城区解放东路168号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杭银理财有限责任公司</w:t>
            </w:r>
          </w:p>
        </w:tc>
        <w:tc>
          <w:tcPr>
            <w:tcW w:w="1200" w:type="dxa"/>
            <w:vAlign w:val="center"/>
          </w:tcPr>
          <w:p>
            <w:pPr>
              <w:jc w:val="left"/>
            </w:pPr>
            <w:r>
              <w:t>住所</w:t>
            </w:r>
          </w:p>
        </w:tc>
        <w:tc>
          <w:tcPr>
            <w:tcW w:w="3800" w:type="dxa"/>
            <w:vAlign w:val="center"/>
          </w:tcPr>
          <w:p>
            <w:pPr>
              <w:jc w:val="center"/>
            </w:pPr>
            <w:r>
              <w:t>浙江省杭州市拱墅区庆春路38号金龙财富中心6层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400-8950-999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东莞银行股份有限公司</w:t>
            </w:r>
          </w:p>
        </w:tc>
        <w:tc>
          <w:tcPr>
            <w:tcW w:w="1200" w:type="dxa"/>
            <w:vAlign w:val="center"/>
          </w:tcPr>
          <w:p>
            <w:pPr>
              <w:jc w:val="left"/>
            </w:pPr>
            <w:r>
              <w:t>住所</w:t>
            </w:r>
          </w:p>
        </w:tc>
        <w:tc>
          <w:tcPr>
            <w:tcW w:w="3800" w:type="dxa"/>
            <w:vAlign w:val="center"/>
          </w:tcPr>
          <w:p>
            <w:pPr>
              <w:jc w:val="center"/>
            </w:pPr>
            <w:r>
              <w:t>东莞市莞城区体育路21号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0769-22865171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东营银行股份有限公司</w:t>
            </w:r>
          </w:p>
        </w:tc>
        <w:tc>
          <w:tcPr>
            <w:tcW w:w="1200" w:type="dxa"/>
            <w:vAlign w:val="center"/>
          </w:tcPr>
          <w:p>
            <w:pPr>
              <w:jc w:val="left"/>
            </w:pPr>
            <w:r>
              <w:t>住所</w:t>
            </w:r>
          </w:p>
        </w:tc>
        <w:tc>
          <w:tcPr>
            <w:tcW w:w="3800" w:type="dxa"/>
            <w:vAlign w:val="center"/>
          </w:tcPr>
          <w:p>
            <w:pPr>
              <w:jc w:val="center"/>
            </w:pPr>
            <w:r>
              <w:t>山东省东营市东营区府前大街87-1号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0546-7666871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中信百信银行股份有限公司</w:t>
            </w:r>
          </w:p>
        </w:tc>
        <w:tc>
          <w:tcPr>
            <w:tcW w:w="1200" w:type="dxa"/>
            <w:vAlign w:val="center"/>
          </w:tcPr>
          <w:p>
            <w:pPr>
              <w:jc w:val="left"/>
            </w:pPr>
            <w:r>
              <w:t>住所</w:t>
            </w:r>
          </w:p>
        </w:tc>
        <w:tc>
          <w:tcPr>
            <w:tcW w:w="3800" w:type="dxa"/>
            <w:vAlign w:val="center"/>
          </w:tcPr>
          <w:p>
            <w:pPr>
              <w:jc w:val="center"/>
            </w:pPr>
            <w:r>
              <w:t>北京市朝阳区安定路5号院3号楼8层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中国邮政储蓄银行股份有限公司</w:t>
            </w:r>
          </w:p>
        </w:tc>
        <w:tc>
          <w:tcPr>
            <w:tcW w:w="1200" w:type="dxa"/>
            <w:vAlign w:val="center"/>
          </w:tcPr>
          <w:p>
            <w:pPr>
              <w:jc w:val="left"/>
            </w:pPr>
            <w:r>
              <w:t>住所</w:t>
            </w:r>
          </w:p>
        </w:tc>
        <w:tc>
          <w:tcPr>
            <w:tcW w:w="3800" w:type="dxa"/>
            <w:vAlign w:val="center"/>
          </w:tcPr>
          <w:p>
            <w:pPr>
              <w:jc w:val="center"/>
            </w:pPr>
            <w:r>
              <w:t>北京市西城区金融大街3号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95580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中邮邮惠万家银行有限责任公司</w:t>
            </w:r>
          </w:p>
        </w:tc>
        <w:tc>
          <w:tcPr>
            <w:tcW w:w="1200" w:type="dxa"/>
            <w:vAlign w:val="center"/>
          </w:tcPr>
          <w:p>
            <w:pPr>
              <w:jc w:val="left"/>
            </w:pPr>
            <w:r>
              <w:t>住所</w:t>
            </w:r>
          </w:p>
        </w:tc>
        <w:tc>
          <w:tcPr>
            <w:tcW w:w="3800" w:type="dxa"/>
            <w:vAlign w:val="center"/>
          </w:tcPr>
          <w:p>
            <w:pPr>
              <w:jc w:val="center"/>
            </w:pPr>
            <w:r>
              <w:t>上海市虹口区东大名路1080号25层、26层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95504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九江银行股份有限公司</w:t>
            </w:r>
          </w:p>
        </w:tc>
        <w:tc>
          <w:tcPr>
            <w:tcW w:w="1200" w:type="dxa"/>
            <w:vAlign w:val="center"/>
          </w:tcPr>
          <w:p>
            <w:pPr>
              <w:jc w:val="left"/>
            </w:pPr>
            <w:r>
              <w:t>住所</w:t>
            </w:r>
          </w:p>
        </w:tc>
        <w:tc>
          <w:tcPr>
            <w:tcW w:w="3800" w:type="dxa"/>
            <w:vAlign w:val="center"/>
          </w:tcPr>
          <w:p>
            <w:pPr>
              <w:jc w:val="center"/>
            </w:pPr>
            <w:r>
              <w:t>江西省九江市濂溪区长虹大道619号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佛山农村商业银行股份有限公司</w:t>
            </w:r>
          </w:p>
        </w:tc>
        <w:tc>
          <w:tcPr>
            <w:tcW w:w="1200" w:type="dxa"/>
            <w:vAlign w:val="center"/>
          </w:tcPr>
          <w:p>
            <w:pPr>
              <w:jc w:val="left"/>
            </w:pPr>
            <w:r>
              <w:t>住所</w:t>
            </w:r>
          </w:p>
        </w:tc>
        <w:tc>
          <w:tcPr>
            <w:tcW w:w="3800" w:type="dxa"/>
            <w:vAlign w:val="center"/>
          </w:tcPr>
          <w:p>
            <w:pPr>
              <w:jc w:val="center"/>
            </w:pPr>
            <w:r>
              <w:t>佛山市禅城区华远东路5号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0757-83032251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兴业银行股份有限公司</w:t>
            </w:r>
          </w:p>
        </w:tc>
        <w:tc>
          <w:tcPr>
            <w:tcW w:w="1200" w:type="dxa"/>
            <w:vAlign w:val="center"/>
          </w:tcPr>
          <w:p>
            <w:pPr>
              <w:jc w:val="left"/>
            </w:pPr>
            <w:r>
              <w:t>住所</w:t>
            </w:r>
          </w:p>
        </w:tc>
        <w:tc>
          <w:tcPr>
            <w:tcW w:w="3800" w:type="dxa"/>
            <w:vAlign w:val="center"/>
          </w:tcPr>
          <w:p>
            <w:pPr>
              <w:jc w:val="center"/>
            </w:pPr>
            <w:r>
              <w:t>福建省福州市台江区江滨中大道398号兴业银行大厦</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0591-87844196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台州银行股份有限公司</w:t>
            </w:r>
          </w:p>
        </w:tc>
        <w:tc>
          <w:tcPr>
            <w:tcW w:w="1200" w:type="dxa"/>
            <w:vAlign w:val="center"/>
          </w:tcPr>
          <w:p>
            <w:pPr>
              <w:jc w:val="left"/>
            </w:pPr>
            <w:r>
              <w:t>住所</w:t>
            </w:r>
          </w:p>
        </w:tc>
        <w:tc>
          <w:tcPr>
            <w:tcW w:w="3800" w:type="dxa"/>
            <w:vAlign w:val="center"/>
          </w:tcPr>
          <w:p>
            <w:pPr>
              <w:jc w:val="center"/>
            </w:pPr>
            <w: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吉林银行股份有限公司</w:t>
            </w:r>
          </w:p>
        </w:tc>
        <w:tc>
          <w:tcPr>
            <w:tcW w:w="1200" w:type="dxa"/>
            <w:vAlign w:val="center"/>
          </w:tcPr>
          <w:p>
            <w:pPr>
              <w:jc w:val="left"/>
            </w:pPr>
            <w:r>
              <w:t>住所</w:t>
            </w:r>
          </w:p>
        </w:tc>
        <w:tc>
          <w:tcPr>
            <w:tcW w:w="3800" w:type="dxa"/>
            <w:vAlign w:val="center"/>
          </w:tcPr>
          <w:p>
            <w:pPr>
              <w:jc w:val="center"/>
            </w:pPr>
            <w:r>
              <w:t>经济开发区东南湖大路1817号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0431-84999543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四川新网银行股份有限公司</w:t>
            </w:r>
          </w:p>
        </w:tc>
        <w:tc>
          <w:tcPr>
            <w:tcW w:w="1200" w:type="dxa"/>
            <w:vAlign w:val="center"/>
          </w:tcPr>
          <w:p>
            <w:pPr>
              <w:jc w:val="left"/>
            </w:pPr>
            <w:r>
              <w:t>住所</w:t>
            </w:r>
          </w:p>
        </w:tc>
        <w:tc>
          <w:tcPr>
            <w:tcW w:w="3800" w:type="dxa"/>
            <w:vAlign w:val="center"/>
          </w:tcPr>
          <w:p>
            <w:pPr>
              <w:jc w:val="center"/>
            </w:pPr>
            <w:r>
              <w:t>成都高新区吉泰三路8号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95394</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宁夏银行股份有限公司</w:t>
            </w:r>
          </w:p>
        </w:tc>
        <w:tc>
          <w:tcPr>
            <w:tcW w:w="1200" w:type="dxa"/>
            <w:vAlign w:val="center"/>
          </w:tcPr>
          <w:p>
            <w:pPr>
              <w:jc w:val="left"/>
            </w:pPr>
            <w:r>
              <w:t>住所</w:t>
            </w:r>
          </w:p>
        </w:tc>
        <w:tc>
          <w:tcPr>
            <w:tcW w:w="3800" w:type="dxa"/>
            <w:vAlign w:val="center"/>
          </w:tcPr>
          <w:p>
            <w:pPr>
              <w:jc w:val="center"/>
            </w:pPr>
            <w:r>
              <w:t>银川市金凤区北京中路157号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4008096558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宁波北仑农村商业银行股份有限公司</w:t>
            </w:r>
          </w:p>
        </w:tc>
        <w:tc>
          <w:tcPr>
            <w:tcW w:w="1200" w:type="dxa"/>
            <w:vAlign w:val="center"/>
          </w:tcPr>
          <w:p>
            <w:pPr>
              <w:jc w:val="left"/>
            </w:pPr>
            <w:r>
              <w:t>住所</w:t>
            </w:r>
          </w:p>
        </w:tc>
        <w:tc>
          <w:tcPr>
            <w:tcW w:w="3800" w:type="dxa"/>
            <w:vAlign w:val="center"/>
          </w:tcPr>
          <w:p>
            <w:pPr>
              <w:jc w:val="center"/>
            </w:pPr>
            <w:r>
              <w:t>宁波市北仑区新碶宝山路69号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0574-86965857</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宁波奉化农村商业银行股份有限公司</w:t>
            </w:r>
          </w:p>
        </w:tc>
        <w:tc>
          <w:tcPr>
            <w:tcW w:w="1200" w:type="dxa"/>
            <w:vAlign w:val="center"/>
          </w:tcPr>
          <w:p>
            <w:pPr>
              <w:jc w:val="left"/>
            </w:pPr>
            <w:r>
              <w:t>住所</w:t>
            </w:r>
          </w:p>
        </w:tc>
        <w:tc>
          <w:tcPr>
            <w:tcW w:w="3800" w:type="dxa"/>
            <w:vAlign w:val="center"/>
          </w:tcPr>
          <w:p>
            <w:pPr>
              <w:jc w:val="center"/>
            </w:pPr>
            <w:r>
              <w:t>宁波市奉化区锦屏街道中山路27号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宁波宁海农村商业银行股份有限公司</w:t>
            </w:r>
          </w:p>
        </w:tc>
        <w:tc>
          <w:tcPr>
            <w:tcW w:w="1200" w:type="dxa"/>
            <w:vAlign w:val="center"/>
          </w:tcPr>
          <w:p>
            <w:pPr>
              <w:jc w:val="left"/>
            </w:pPr>
            <w:r>
              <w:t>住所</w:t>
            </w:r>
          </w:p>
        </w:tc>
        <w:tc>
          <w:tcPr>
            <w:tcW w:w="3800" w:type="dxa"/>
            <w:vAlign w:val="center"/>
          </w:tcPr>
          <w:p>
            <w:pPr>
              <w:jc w:val="center"/>
            </w:pPr>
            <w:r>
              <w:t>宁海县跃龙街道学勉路1号（金融中心1903）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0574-83522699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宁波甬城农村商业银行股份有限公司</w:t>
            </w:r>
          </w:p>
        </w:tc>
        <w:tc>
          <w:tcPr>
            <w:tcW w:w="1200" w:type="dxa"/>
            <w:vAlign w:val="center"/>
          </w:tcPr>
          <w:p>
            <w:pPr>
              <w:jc w:val="left"/>
            </w:pPr>
            <w:r>
              <w:t>住所</w:t>
            </w:r>
          </w:p>
        </w:tc>
        <w:tc>
          <w:tcPr>
            <w:tcW w:w="3800" w:type="dxa"/>
            <w:vAlign w:val="center"/>
          </w:tcPr>
          <w:p>
            <w:pPr>
              <w:jc w:val="center"/>
            </w:pPr>
            <w:r>
              <w:t>浙江省宁波市江北区育才路15、17号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0574-87667888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宁波象山农村商业银行股份有限公司</w:t>
            </w:r>
          </w:p>
        </w:tc>
        <w:tc>
          <w:tcPr>
            <w:tcW w:w="1200" w:type="dxa"/>
            <w:vAlign w:val="center"/>
          </w:tcPr>
          <w:p>
            <w:pPr>
              <w:jc w:val="left"/>
            </w:pPr>
            <w:r>
              <w:t>住所</w:t>
            </w:r>
          </w:p>
        </w:tc>
        <w:tc>
          <w:tcPr>
            <w:tcW w:w="3800" w:type="dxa"/>
            <w:vAlign w:val="center"/>
          </w:tcPr>
          <w:p>
            <w:pPr>
              <w:jc w:val="center"/>
            </w:pPr>
            <w:r>
              <w:t>宁波市象山县丹东街道天安路985号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0574-65654662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宁波鄞州农村商业银行股份有限公司</w:t>
            </w:r>
          </w:p>
        </w:tc>
        <w:tc>
          <w:tcPr>
            <w:tcW w:w="1200" w:type="dxa"/>
            <w:vAlign w:val="center"/>
          </w:tcPr>
          <w:p>
            <w:pPr>
              <w:jc w:val="left"/>
            </w:pPr>
            <w:r>
              <w:t>住所</w:t>
            </w:r>
          </w:p>
        </w:tc>
        <w:tc>
          <w:tcPr>
            <w:tcW w:w="3800" w:type="dxa"/>
            <w:vAlign w:val="center"/>
          </w:tcPr>
          <w:p>
            <w:pPr>
              <w:jc w:val="center"/>
            </w:pPr>
            <w:r>
              <w:t>浙江省宁波市鄞州区民惠西路88号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0574-87412766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广东南粤银行股份有限公司</w:t>
            </w:r>
          </w:p>
        </w:tc>
        <w:tc>
          <w:tcPr>
            <w:tcW w:w="1200" w:type="dxa"/>
            <w:vAlign w:val="center"/>
          </w:tcPr>
          <w:p>
            <w:pPr>
              <w:jc w:val="left"/>
            </w:pPr>
            <w:r>
              <w:t>住所</w:t>
            </w:r>
          </w:p>
        </w:tc>
        <w:tc>
          <w:tcPr>
            <w:tcW w:w="3800" w:type="dxa"/>
            <w:vAlign w:val="center"/>
          </w:tcPr>
          <w:p>
            <w:pPr>
              <w:jc w:val="center"/>
            </w:pPr>
            <w:r>
              <w:t>湛江经济技术开发区乐山路27号财富汇金融中心1层01、02号商铺、2层01号商铺、3层01号商铺、39-45层办公室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0759-3309100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广州银行股份有限公司</w:t>
            </w:r>
          </w:p>
        </w:tc>
        <w:tc>
          <w:tcPr>
            <w:tcW w:w="1200" w:type="dxa"/>
            <w:vAlign w:val="center"/>
          </w:tcPr>
          <w:p>
            <w:pPr>
              <w:jc w:val="left"/>
            </w:pPr>
            <w:r>
              <w:t>住所</w:t>
            </w:r>
          </w:p>
        </w:tc>
        <w:tc>
          <w:tcPr>
            <w:tcW w:w="3800" w:type="dxa"/>
            <w:vAlign w:val="center"/>
          </w:tcPr>
          <w:p>
            <w:pPr>
              <w:jc w:val="center"/>
            </w:pPr>
            <w:r>
              <w:t>广州市天河区珠江东路30号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400-83-96699</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德州银行股份有限公司</w:t>
            </w:r>
          </w:p>
        </w:tc>
        <w:tc>
          <w:tcPr>
            <w:tcW w:w="1200" w:type="dxa"/>
            <w:vAlign w:val="center"/>
          </w:tcPr>
          <w:p>
            <w:pPr>
              <w:jc w:val="left"/>
            </w:pPr>
            <w:r>
              <w:t>住所</w:t>
            </w:r>
          </w:p>
        </w:tc>
        <w:tc>
          <w:tcPr>
            <w:tcW w:w="3800" w:type="dxa"/>
            <w:vAlign w:val="center"/>
          </w:tcPr>
          <w:p>
            <w:pPr>
              <w:jc w:val="center"/>
            </w:pPr>
            <w:r>
              <w:t>德州市三八东路1266号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0534-2291695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新韩银行（中国）有限公司</w:t>
            </w:r>
          </w:p>
        </w:tc>
        <w:tc>
          <w:tcPr>
            <w:tcW w:w="1200" w:type="dxa"/>
            <w:vAlign w:val="center"/>
          </w:tcPr>
          <w:p>
            <w:pPr>
              <w:jc w:val="left"/>
            </w:pPr>
            <w:r>
              <w:t>住所</w:t>
            </w:r>
          </w:p>
        </w:tc>
        <w:tc>
          <w:tcPr>
            <w:tcW w:w="3800" w:type="dxa"/>
            <w:vAlign w:val="center"/>
          </w:tcPr>
          <w:p>
            <w:pPr>
              <w:jc w:val="center"/>
            </w:pPr>
            <w: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无锡锡商银行股份有限公司</w:t>
            </w:r>
          </w:p>
        </w:tc>
        <w:tc>
          <w:tcPr>
            <w:tcW w:w="1200" w:type="dxa"/>
            <w:vAlign w:val="center"/>
          </w:tcPr>
          <w:p>
            <w:pPr>
              <w:jc w:val="left"/>
            </w:pPr>
            <w:r>
              <w:t>住所</w:t>
            </w:r>
          </w:p>
        </w:tc>
        <w:tc>
          <w:tcPr>
            <w:tcW w:w="3800" w:type="dxa"/>
            <w:vAlign w:val="center"/>
          </w:tcPr>
          <w:p>
            <w:pPr>
              <w:jc w:val="center"/>
            </w:pPr>
            <w:r>
              <w:t>江苏省无锡市锡山区安镇街道东翔路578号红豆财富广场1-2层、5-11层</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4008880555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日照银行股份有限公司</w:t>
            </w:r>
          </w:p>
        </w:tc>
        <w:tc>
          <w:tcPr>
            <w:tcW w:w="1200" w:type="dxa"/>
            <w:vAlign w:val="center"/>
          </w:tcPr>
          <w:p>
            <w:pPr>
              <w:jc w:val="left"/>
            </w:pPr>
            <w:r>
              <w:t>住所</w:t>
            </w:r>
          </w:p>
        </w:tc>
        <w:tc>
          <w:tcPr>
            <w:tcW w:w="3800" w:type="dxa"/>
            <w:vAlign w:val="center"/>
          </w:tcPr>
          <w:p>
            <w:pPr>
              <w:jc w:val="center"/>
            </w:pPr>
            <w:r>
              <w:t>日照市烟台路197号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0633-8781988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江苏常熟农村商业银行股份有限公司</w:t>
            </w:r>
          </w:p>
        </w:tc>
        <w:tc>
          <w:tcPr>
            <w:tcW w:w="1200" w:type="dxa"/>
            <w:vAlign w:val="center"/>
          </w:tcPr>
          <w:p>
            <w:pPr>
              <w:jc w:val="left"/>
            </w:pPr>
            <w:r>
              <w:t>住所</w:t>
            </w:r>
          </w:p>
        </w:tc>
        <w:tc>
          <w:tcPr>
            <w:tcW w:w="3800" w:type="dxa"/>
            <w:vAlign w:val="center"/>
          </w:tcPr>
          <w:p>
            <w:pPr>
              <w:jc w:val="center"/>
            </w:pPr>
            <w:r>
              <w:t>江苏省常熟市新世纪大道58号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0512-52909021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浙商银行股份有限公司</w:t>
            </w:r>
          </w:p>
        </w:tc>
        <w:tc>
          <w:tcPr>
            <w:tcW w:w="1200" w:type="dxa"/>
            <w:vAlign w:val="center"/>
          </w:tcPr>
          <w:p>
            <w:pPr>
              <w:jc w:val="left"/>
            </w:pPr>
            <w:r>
              <w:t>住所</w:t>
            </w:r>
          </w:p>
        </w:tc>
        <w:tc>
          <w:tcPr>
            <w:tcW w:w="3800" w:type="dxa"/>
            <w:vAlign w:val="center"/>
          </w:tcPr>
          <w:p>
            <w:pPr>
              <w:jc w:val="center"/>
            </w:pPr>
            <w: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0571-87659101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浙江东阳农村商业银行股份有限公司</w:t>
            </w:r>
          </w:p>
        </w:tc>
        <w:tc>
          <w:tcPr>
            <w:tcW w:w="1200" w:type="dxa"/>
            <w:vAlign w:val="center"/>
          </w:tcPr>
          <w:p>
            <w:pPr>
              <w:jc w:val="left"/>
            </w:pPr>
            <w:r>
              <w:t>住所</w:t>
            </w:r>
          </w:p>
        </w:tc>
        <w:tc>
          <w:tcPr>
            <w:tcW w:w="3800" w:type="dxa"/>
            <w:vAlign w:val="center"/>
          </w:tcPr>
          <w:p>
            <w:pPr>
              <w:jc w:val="center"/>
            </w:pPr>
            <w:r>
              <w:t>浙江省金华市东阳市双岘路18号东阳农商银行八楼财富中心</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0579-86897175</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浙江临安农村商业银行股份有限公司</w:t>
            </w:r>
          </w:p>
        </w:tc>
        <w:tc>
          <w:tcPr>
            <w:tcW w:w="1200" w:type="dxa"/>
            <w:vAlign w:val="center"/>
          </w:tcPr>
          <w:p>
            <w:pPr>
              <w:jc w:val="left"/>
            </w:pPr>
            <w:r>
              <w:t>住所</w:t>
            </w:r>
          </w:p>
        </w:tc>
        <w:tc>
          <w:tcPr>
            <w:tcW w:w="3800" w:type="dxa"/>
            <w:vAlign w:val="center"/>
          </w:tcPr>
          <w:p>
            <w:pPr>
              <w:jc w:val="center"/>
            </w:pPr>
            <w:r>
              <w:t>杭州市临安区钱王街821号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0571-61105831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浙江丽水莲都农村商业银行股份有限公司</w:t>
            </w:r>
          </w:p>
        </w:tc>
        <w:tc>
          <w:tcPr>
            <w:tcW w:w="1200" w:type="dxa"/>
            <w:vAlign w:val="center"/>
          </w:tcPr>
          <w:p>
            <w:pPr>
              <w:jc w:val="left"/>
            </w:pPr>
            <w:r>
              <w:t>住所</w:t>
            </w:r>
          </w:p>
        </w:tc>
        <w:tc>
          <w:tcPr>
            <w:tcW w:w="3800" w:type="dxa"/>
            <w:vAlign w:val="center"/>
          </w:tcPr>
          <w:p>
            <w:pPr>
              <w:jc w:val="center"/>
            </w:pPr>
            <w:r>
              <w:t>浙江省丽水市莲都区解放街438号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0578-2027170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浙江乐清农村商业银行股份有限公司</w:t>
            </w:r>
          </w:p>
        </w:tc>
        <w:tc>
          <w:tcPr>
            <w:tcW w:w="1200" w:type="dxa"/>
            <w:vAlign w:val="center"/>
          </w:tcPr>
          <w:p>
            <w:pPr>
              <w:jc w:val="left"/>
            </w:pPr>
            <w:r>
              <w:t>住所</w:t>
            </w:r>
          </w:p>
        </w:tc>
        <w:tc>
          <w:tcPr>
            <w:tcW w:w="3800" w:type="dxa"/>
            <w:vAlign w:val="center"/>
          </w:tcPr>
          <w:p>
            <w:pPr>
              <w:jc w:val="center"/>
            </w:pPr>
            <w:r>
              <w:t>浙江省乐清市城南街道伯乐西路99号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0577-62159999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浙江台州椒江农村商业银行股份有限公司</w:t>
            </w:r>
          </w:p>
        </w:tc>
        <w:tc>
          <w:tcPr>
            <w:tcW w:w="1200" w:type="dxa"/>
            <w:vAlign w:val="center"/>
          </w:tcPr>
          <w:p>
            <w:pPr>
              <w:jc w:val="left"/>
            </w:pPr>
            <w:r>
              <w:t>住所</w:t>
            </w:r>
          </w:p>
        </w:tc>
        <w:tc>
          <w:tcPr>
            <w:tcW w:w="3800" w:type="dxa"/>
            <w:vAlign w:val="center"/>
          </w:tcPr>
          <w:p>
            <w:pPr>
              <w:jc w:val="center"/>
            </w:pPr>
            <w:r>
              <w:t>浙江省台州市椒江区工人东路322号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浙江台州路桥农村商业银行股份有限公司</w:t>
            </w:r>
          </w:p>
        </w:tc>
        <w:tc>
          <w:tcPr>
            <w:tcW w:w="1200" w:type="dxa"/>
            <w:vAlign w:val="center"/>
          </w:tcPr>
          <w:p>
            <w:pPr>
              <w:jc w:val="left"/>
            </w:pPr>
            <w:r>
              <w:t>住所</w:t>
            </w:r>
          </w:p>
        </w:tc>
        <w:tc>
          <w:tcPr>
            <w:tcW w:w="3800" w:type="dxa"/>
            <w:vAlign w:val="center"/>
          </w:tcPr>
          <w:p>
            <w:pPr>
              <w:jc w:val="center"/>
            </w:pPr>
            <w:r>
              <w:t>浙江省台州市路桥区路北街道中心大道5789号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浙江台州黄岩农村商业银行股份有限公司</w:t>
            </w:r>
          </w:p>
        </w:tc>
        <w:tc>
          <w:tcPr>
            <w:tcW w:w="1200" w:type="dxa"/>
            <w:vAlign w:val="center"/>
          </w:tcPr>
          <w:p>
            <w:pPr>
              <w:jc w:val="left"/>
            </w:pPr>
            <w:r>
              <w:t>住所</w:t>
            </w:r>
          </w:p>
        </w:tc>
        <w:tc>
          <w:tcPr>
            <w:tcW w:w="3800" w:type="dxa"/>
            <w:vAlign w:val="center"/>
          </w:tcPr>
          <w:p>
            <w:pPr>
              <w:jc w:val="center"/>
            </w:pPr>
            <w:r>
              <w:t>浙江台州黄岩洞天路88号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0576-89996596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浙江安吉农村商业银行股份有限公司</w:t>
            </w:r>
          </w:p>
        </w:tc>
        <w:tc>
          <w:tcPr>
            <w:tcW w:w="1200" w:type="dxa"/>
            <w:vAlign w:val="center"/>
          </w:tcPr>
          <w:p>
            <w:pPr>
              <w:jc w:val="left"/>
            </w:pPr>
            <w:r>
              <w:t>住所</w:t>
            </w:r>
          </w:p>
        </w:tc>
        <w:tc>
          <w:tcPr>
            <w:tcW w:w="3800" w:type="dxa"/>
            <w:vAlign w:val="center"/>
          </w:tcPr>
          <w:p>
            <w:pPr>
              <w:jc w:val="center"/>
            </w:pPr>
            <w:r>
              <w:t>浙江省安吉县昌硕街道昌硕东路1号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4006096596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浙江嵊州农村商业银行股份有限公司</w:t>
            </w:r>
          </w:p>
        </w:tc>
        <w:tc>
          <w:tcPr>
            <w:tcW w:w="1200" w:type="dxa"/>
            <w:vAlign w:val="center"/>
          </w:tcPr>
          <w:p>
            <w:pPr>
              <w:jc w:val="left"/>
            </w:pPr>
            <w:r>
              <w:t>住所</w:t>
            </w:r>
          </w:p>
        </w:tc>
        <w:tc>
          <w:tcPr>
            <w:tcW w:w="3800" w:type="dxa"/>
            <w:vAlign w:val="center"/>
          </w:tcPr>
          <w:p>
            <w:pPr>
              <w:jc w:val="center"/>
            </w:pPr>
            <w:r>
              <w:t>浙江省嵊州市官河路398号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浙江常山农村商业银行股份有限公司</w:t>
            </w:r>
          </w:p>
        </w:tc>
        <w:tc>
          <w:tcPr>
            <w:tcW w:w="1200" w:type="dxa"/>
            <w:vAlign w:val="center"/>
          </w:tcPr>
          <w:p>
            <w:pPr>
              <w:jc w:val="left"/>
            </w:pPr>
            <w:r>
              <w:t>住所</w:t>
            </w:r>
          </w:p>
        </w:tc>
        <w:tc>
          <w:tcPr>
            <w:tcW w:w="3800" w:type="dxa"/>
            <w:vAlign w:val="center"/>
          </w:tcPr>
          <w:p>
            <w:pPr>
              <w:jc w:val="center"/>
            </w:pPr>
            <w:r>
              <w:t>浙江省衢州市常山县紫港街道文教东路258号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浙江开化农村商业银行股份有限公司</w:t>
            </w:r>
          </w:p>
        </w:tc>
        <w:tc>
          <w:tcPr>
            <w:tcW w:w="1200" w:type="dxa"/>
            <w:vAlign w:val="center"/>
          </w:tcPr>
          <w:p>
            <w:pPr>
              <w:jc w:val="left"/>
            </w:pPr>
            <w:r>
              <w:t>住所</w:t>
            </w:r>
          </w:p>
        </w:tc>
        <w:tc>
          <w:tcPr>
            <w:tcW w:w="3800" w:type="dxa"/>
            <w:vAlign w:val="center"/>
          </w:tcPr>
          <w:p>
            <w:pPr>
              <w:jc w:val="center"/>
            </w:pPr>
            <w:r>
              <w:t>浙江省衢州市开化县华埠镇永吉二路8号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0570-6025125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浙江文成农村商业银行股份有限公司</w:t>
            </w:r>
          </w:p>
        </w:tc>
        <w:tc>
          <w:tcPr>
            <w:tcW w:w="1200" w:type="dxa"/>
            <w:vAlign w:val="center"/>
          </w:tcPr>
          <w:p>
            <w:pPr>
              <w:jc w:val="left"/>
            </w:pPr>
            <w:r>
              <w:t>住所</w:t>
            </w:r>
          </w:p>
        </w:tc>
        <w:tc>
          <w:tcPr>
            <w:tcW w:w="3800" w:type="dxa"/>
            <w:vAlign w:val="center"/>
          </w:tcPr>
          <w:p>
            <w:pPr>
              <w:jc w:val="center"/>
            </w:pPr>
            <w:r>
              <w:t>浙江省温州市文成县大学镇伯温路6号文成农商银行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浙江新昌农村商业银行股份有限公司</w:t>
            </w:r>
          </w:p>
        </w:tc>
        <w:tc>
          <w:tcPr>
            <w:tcW w:w="1200" w:type="dxa"/>
            <w:vAlign w:val="center"/>
          </w:tcPr>
          <w:p>
            <w:pPr>
              <w:jc w:val="left"/>
            </w:pPr>
            <w:r>
              <w:t>住所</w:t>
            </w:r>
          </w:p>
        </w:tc>
        <w:tc>
          <w:tcPr>
            <w:tcW w:w="3800" w:type="dxa"/>
            <w:vAlign w:val="center"/>
          </w:tcPr>
          <w:p>
            <w:pPr>
              <w:jc w:val="center"/>
            </w:pPr>
            <w:r>
              <w:t>新昌县七星街道七星路18号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浙江武义农村商业银行股份有限公司</w:t>
            </w:r>
          </w:p>
        </w:tc>
        <w:tc>
          <w:tcPr>
            <w:tcW w:w="1200" w:type="dxa"/>
            <w:vAlign w:val="center"/>
          </w:tcPr>
          <w:p>
            <w:pPr>
              <w:jc w:val="left"/>
            </w:pPr>
            <w:r>
              <w:t>住所</w:t>
            </w:r>
          </w:p>
        </w:tc>
        <w:tc>
          <w:tcPr>
            <w:tcW w:w="3800" w:type="dxa"/>
            <w:vAlign w:val="center"/>
          </w:tcPr>
          <w:p>
            <w:pPr>
              <w:jc w:val="center"/>
            </w:pPr>
            <w:r>
              <w:t>浙江省金华市武义县武阳中路37号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0579-87663486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浙江永嘉农村商业银行股份有限公司</w:t>
            </w:r>
          </w:p>
        </w:tc>
        <w:tc>
          <w:tcPr>
            <w:tcW w:w="1200" w:type="dxa"/>
            <w:vAlign w:val="center"/>
          </w:tcPr>
          <w:p>
            <w:pPr>
              <w:jc w:val="left"/>
            </w:pPr>
            <w:r>
              <w:t>住所</w:t>
            </w:r>
          </w:p>
        </w:tc>
        <w:tc>
          <w:tcPr>
            <w:tcW w:w="3800" w:type="dxa"/>
            <w:vAlign w:val="center"/>
          </w:tcPr>
          <w:p>
            <w:pPr>
              <w:jc w:val="center"/>
            </w:pPr>
            <w:r>
              <w:t>浙江省永嘉县瓯北镇阳光大道3918号永嘉农商银行总行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4008057705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浙江泰顺农村商业银行股份有限公司</w:t>
            </w:r>
          </w:p>
        </w:tc>
        <w:tc>
          <w:tcPr>
            <w:tcW w:w="1200" w:type="dxa"/>
            <w:vAlign w:val="center"/>
          </w:tcPr>
          <w:p>
            <w:pPr>
              <w:jc w:val="left"/>
            </w:pPr>
            <w:r>
              <w:t>住所</w:t>
            </w:r>
          </w:p>
        </w:tc>
        <w:tc>
          <w:tcPr>
            <w:tcW w:w="3800" w:type="dxa"/>
            <w:vAlign w:val="center"/>
          </w:tcPr>
          <w:p>
            <w:pPr>
              <w:jc w:val="center"/>
            </w:pPr>
            <w:r>
              <w:t>浙江泰顺县罗阳镇文祥大道181号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4008057708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浙江浦江农村商业银行股份有限公司</w:t>
            </w:r>
          </w:p>
        </w:tc>
        <w:tc>
          <w:tcPr>
            <w:tcW w:w="1200" w:type="dxa"/>
            <w:vAlign w:val="center"/>
          </w:tcPr>
          <w:p>
            <w:pPr>
              <w:jc w:val="left"/>
            </w:pPr>
            <w:r>
              <w:t>住所</w:t>
            </w:r>
          </w:p>
        </w:tc>
        <w:tc>
          <w:tcPr>
            <w:tcW w:w="3800" w:type="dxa"/>
            <w:vAlign w:val="center"/>
          </w:tcPr>
          <w:p>
            <w:pPr>
              <w:jc w:val="center"/>
            </w:pPr>
            <w:r>
              <w:t>浙江省浦江县人民东路90号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0579-88081234</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浙江温州瓯海农村商业银行股份有限公司</w:t>
            </w:r>
          </w:p>
        </w:tc>
        <w:tc>
          <w:tcPr>
            <w:tcW w:w="1200" w:type="dxa"/>
            <w:vAlign w:val="center"/>
          </w:tcPr>
          <w:p>
            <w:pPr>
              <w:jc w:val="left"/>
            </w:pPr>
            <w:r>
              <w:t>住所</w:t>
            </w:r>
          </w:p>
        </w:tc>
        <w:tc>
          <w:tcPr>
            <w:tcW w:w="3800" w:type="dxa"/>
            <w:vAlign w:val="center"/>
          </w:tcPr>
          <w:p>
            <w:pPr>
              <w:jc w:val="center"/>
            </w:pPr>
            <w:r>
              <w:t>温州市瓯海区瓯海大道989号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4008396596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浙江绍兴恒信农村商业银行股份有限公司</w:t>
            </w:r>
          </w:p>
        </w:tc>
        <w:tc>
          <w:tcPr>
            <w:tcW w:w="1200" w:type="dxa"/>
            <w:vAlign w:val="center"/>
          </w:tcPr>
          <w:p>
            <w:pPr>
              <w:jc w:val="left"/>
            </w:pPr>
            <w:r>
              <w:t>住所</w:t>
            </w:r>
          </w:p>
        </w:tc>
        <w:tc>
          <w:tcPr>
            <w:tcW w:w="3800" w:type="dxa"/>
            <w:vAlign w:val="center"/>
          </w:tcPr>
          <w:p>
            <w:pPr>
              <w:jc w:val="center"/>
            </w:pPr>
            <w:r>
              <w:t>浙江省绍兴市越城区中兴中路159号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浙江绍兴瑞丰农村商业银行股份有限公司</w:t>
            </w:r>
          </w:p>
        </w:tc>
        <w:tc>
          <w:tcPr>
            <w:tcW w:w="1200" w:type="dxa"/>
            <w:vAlign w:val="center"/>
          </w:tcPr>
          <w:p>
            <w:pPr>
              <w:jc w:val="left"/>
            </w:pPr>
            <w:r>
              <w:t>住所</w:t>
            </w:r>
          </w:p>
        </w:tc>
        <w:tc>
          <w:tcPr>
            <w:tcW w:w="3800" w:type="dxa"/>
            <w:vAlign w:val="center"/>
          </w:tcPr>
          <w:p>
            <w:pPr>
              <w:jc w:val="center"/>
            </w:pPr>
            <w:r>
              <w:t>浙江省绍兴市柯桥区笛扬路1363号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浙江舟山定海海洋农村商业银行股份有限公司</w:t>
            </w:r>
          </w:p>
        </w:tc>
        <w:tc>
          <w:tcPr>
            <w:tcW w:w="1200" w:type="dxa"/>
            <w:vAlign w:val="center"/>
          </w:tcPr>
          <w:p>
            <w:pPr>
              <w:jc w:val="left"/>
            </w:pPr>
            <w:r>
              <w:t>住所</w:t>
            </w:r>
          </w:p>
        </w:tc>
        <w:tc>
          <w:tcPr>
            <w:tcW w:w="3800" w:type="dxa"/>
            <w:vAlign w:val="center"/>
          </w:tcPr>
          <w:p>
            <w:pPr>
              <w:jc w:val="center"/>
            </w:pPr>
            <w:r>
              <w:t>浙江省舟山市定海区环城东路81号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0580-2030956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浙江苍南农村商业银行股份有限公司</w:t>
            </w:r>
          </w:p>
        </w:tc>
        <w:tc>
          <w:tcPr>
            <w:tcW w:w="1200" w:type="dxa"/>
            <w:vAlign w:val="center"/>
          </w:tcPr>
          <w:p>
            <w:pPr>
              <w:jc w:val="left"/>
            </w:pPr>
            <w:r>
              <w:t>住所</w:t>
            </w:r>
          </w:p>
        </w:tc>
        <w:tc>
          <w:tcPr>
            <w:tcW w:w="3800" w:type="dxa"/>
            <w:vAlign w:val="center"/>
          </w:tcPr>
          <w:p>
            <w:pPr>
              <w:jc w:val="center"/>
            </w:pPr>
            <w:r>
              <w:t>浙江省温州市苍南县灵溪镇人民大道425号苍南农商银行</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0577-68111111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浙江衢州衢江农村商业银行股份有限公司</w:t>
            </w:r>
          </w:p>
        </w:tc>
        <w:tc>
          <w:tcPr>
            <w:tcW w:w="1200" w:type="dxa"/>
            <w:vAlign w:val="center"/>
          </w:tcPr>
          <w:p>
            <w:pPr>
              <w:jc w:val="left"/>
            </w:pPr>
            <w:r>
              <w:t>住所</w:t>
            </w:r>
          </w:p>
        </w:tc>
        <w:tc>
          <w:tcPr>
            <w:tcW w:w="3800" w:type="dxa"/>
            <w:vAlign w:val="center"/>
          </w:tcPr>
          <w:p>
            <w:pPr>
              <w:jc w:val="center"/>
            </w:pPr>
            <w:r>
              <w:t>浙江省衢州市衢江区樟潭街道信安东路37号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0570-3026608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浙江诸暨农村商业银行股份有限公司</w:t>
            </w:r>
          </w:p>
        </w:tc>
        <w:tc>
          <w:tcPr>
            <w:tcW w:w="1200" w:type="dxa"/>
            <w:vAlign w:val="center"/>
          </w:tcPr>
          <w:p>
            <w:pPr>
              <w:jc w:val="left"/>
            </w:pPr>
            <w:r>
              <w:t>住所</w:t>
            </w:r>
          </w:p>
        </w:tc>
        <w:tc>
          <w:tcPr>
            <w:tcW w:w="3800" w:type="dxa"/>
            <w:vAlign w:val="center"/>
          </w:tcPr>
          <w:p>
            <w:pPr>
              <w:jc w:val="center"/>
            </w:pPr>
            <w:r>
              <w:t>浙江省诸暨市暨阳街道大桥东路2号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浙江长兴农村商业银行股份有限公司</w:t>
            </w:r>
          </w:p>
        </w:tc>
        <w:tc>
          <w:tcPr>
            <w:tcW w:w="1200" w:type="dxa"/>
            <w:vAlign w:val="center"/>
          </w:tcPr>
          <w:p>
            <w:pPr>
              <w:jc w:val="left"/>
            </w:pPr>
            <w:r>
              <w:t>住所</w:t>
            </w:r>
          </w:p>
        </w:tc>
        <w:tc>
          <w:tcPr>
            <w:tcW w:w="3800" w:type="dxa"/>
            <w:vAlign w:val="center"/>
          </w:tcPr>
          <w:p>
            <w:pPr>
              <w:jc w:val="center"/>
            </w:pPr>
            <w:r>
              <w:t>浙江省长兴县太湖街道明珠路1298号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浙江青田农村商业银行股份有限公司</w:t>
            </w:r>
          </w:p>
        </w:tc>
        <w:tc>
          <w:tcPr>
            <w:tcW w:w="1200" w:type="dxa"/>
            <w:vAlign w:val="center"/>
          </w:tcPr>
          <w:p>
            <w:pPr>
              <w:jc w:val="left"/>
            </w:pPr>
            <w:r>
              <w:t>住所</w:t>
            </w:r>
          </w:p>
        </w:tc>
        <w:tc>
          <w:tcPr>
            <w:tcW w:w="3800" w:type="dxa"/>
            <w:vAlign w:val="center"/>
          </w:tcPr>
          <w:p>
            <w:pPr>
              <w:jc w:val="center"/>
            </w:pPr>
            <w:r>
              <w:t>浙江省丽水市青田县鹤城街道鹤城东路180号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0578-6833720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浙江龙游农村商业银行股份有限公司</w:t>
            </w:r>
          </w:p>
        </w:tc>
        <w:tc>
          <w:tcPr>
            <w:tcW w:w="1200" w:type="dxa"/>
            <w:vAlign w:val="center"/>
          </w:tcPr>
          <w:p>
            <w:pPr>
              <w:jc w:val="left"/>
            </w:pPr>
            <w:r>
              <w:t>住所</w:t>
            </w:r>
          </w:p>
        </w:tc>
        <w:tc>
          <w:tcPr>
            <w:tcW w:w="3800" w:type="dxa"/>
            <w:vAlign w:val="center"/>
          </w:tcPr>
          <w:p>
            <w:pPr>
              <w:jc w:val="center"/>
            </w:pPr>
            <w:r>
              <w:t>浙江省衢州市龙游县龙洲街道荣昌大道683、685、687号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4008896596</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海南银行股份有限公司</w:t>
            </w:r>
          </w:p>
        </w:tc>
        <w:tc>
          <w:tcPr>
            <w:tcW w:w="1200" w:type="dxa"/>
            <w:vAlign w:val="center"/>
          </w:tcPr>
          <w:p>
            <w:pPr>
              <w:jc w:val="left"/>
            </w:pPr>
            <w:r>
              <w:t>住所</w:t>
            </w:r>
          </w:p>
        </w:tc>
        <w:tc>
          <w:tcPr>
            <w:tcW w:w="3800" w:type="dxa"/>
            <w:vAlign w:val="center"/>
          </w:tcPr>
          <w:p>
            <w:pPr>
              <w:jc w:val="center"/>
            </w:pPr>
            <w:r>
              <w:t>海南省海口市龙华区海秀东路31号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0898-66505978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深圳前海微众银行股份有限公司</w:t>
            </w:r>
          </w:p>
        </w:tc>
        <w:tc>
          <w:tcPr>
            <w:tcW w:w="1200" w:type="dxa"/>
            <w:vAlign w:val="center"/>
          </w:tcPr>
          <w:p>
            <w:pPr>
              <w:jc w:val="left"/>
            </w:pPr>
            <w:r>
              <w:t>住所</w:t>
            </w:r>
          </w:p>
        </w:tc>
        <w:tc>
          <w:tcPr>
            <w:tcW w:w="3800" w:type="dxa"/>
            <w:vAlign w:val="center"/>
          </w:tcPr>
          <w:p>
            <w:pPr>
              <w:jc w:val="center"/>
            </w:pPr>
            <w:r>
              <w:t>深圳市前海深港合作区前湾一路1号A栋201室（入驻深圳市前海商务秘书有限公司）经营场所:广东省深圳市南山区沙河西路1819号深圳湾科技生态园7栋A座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0755-89462525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潍坊银行股份有限公司</w:t>
            </w:r>
          </w:p>
        </w:tc>
        <w:tc>
          <w:tcPr>
            <w:tcW w:w="1200" w:type="dxa"/>
            <w:vAlign w:val="center"/>
          </w:tcPr>
          <w:p>
            <w:pPr>
              <w:jc w:val="left"/>
            </w:pPr>
            <w:r>
              <w:t>住所</w:t>
            </w:r>
          </w:p>
        </w:tc>
        <w:tc>
          <w:tcPr>
            <w:tcW w:w="3800" w:type="dxa"/>
            <w:vAlign w:val="center"/>
          </w:tcPr>
          <w:p>
            <w:pPr>
              <w:jc w:val="center"/>
            </w:pPr>
            <w:r>
              <w:t>潍坊市奎文区胜利东街5139号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0536-8106161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澳门国际银行股份有限公司广州分行</w:t>
            </w:r>
          </w:p>
        </w:tc>
        <w:tc>
          <w:tcPr>
            <w:tcW w:w="1200" w:type="dxa"/>
            <w:vAlign w:val="center"/>
          </w:tcPr>
          <w:p>
            <w:pPr>
              <w:jc w:val="left"/>
            </w:pPr>
            <w:r>
              <w:t>住所</w:t>
            </w:r>
          </w:p>
        </w:tc>
        <w:tc>
          <w:tcPr>
            <w:tcW w:w="3800" w:type="dxa"/>
            <w:vAlign w:val="center"/>
          </w:tcPr>
          <w:p>
            <w:pPr>
              <w:jc w:val="center"/>
            </w:pPr>
            <w:r>
              <w:t>广州市天河区珠江新城华夏路8号合景国际金融广场1层104房、27层2701房自编02单元、34层3401房、35层3501房</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020-28089999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盛京银行股份有限公司</w:t>
            </w:r>
          </w:p>
        </w:tc>
        <w:tc>
          <w:tcPr>
            <w:tcW w:w="1200" w:type="dxa"/>
            <w:vAlign w:val="center"/>
          </w:tcPr>
          <w:p>
            <w:pPr>
              <w:jc w:val="left"/>
            </w:pPr>
            <w:r>
              <w:t>住所</w:t>
            </w:r>
          </w:p>
        </w:tc>
        <w:tc>
          <w:tcPr>
            <w:tcW w:w="3800" w:type="dxa"/>
            <w:vAlign w:val="center"/>
          </w:tcPr>
          <w:p>
            <w:pPr>
              <w:jc w:val="center"/>
            </w:pPr>
            <w:r>
              <w:t>沈阳市沈河区北站路109号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95337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石嘴山银行股份有限公司</w:t>
            </w:r>
          </w:p>
        </w:tc>
        <w:tc>
          <w:tcPr>
            <w:tcW w:w="1200" w:type="dxa"/>
            <w:vAlign w:val="center"/>
          </w:tcPr>
          <w:p>
            <w:pPr>
              <w:jc w:val="left"/>
            </w:pPr>
            <w:r>
              <w:t>住所</w:t>
            </w:r>
          </w:p>
        </w:tc>
        <w:tc>
          <w:tcPr>
            <w:tcW w:w="3800" w:type="dxa"/>
            <w:vAlign w:val="center"/>
          </w:tcPr>
          <w:p>
            <w:pPr>
              <w:jc w:val="center"/>
            </w:pPr>
            <w:r>
              <w:t>宁夏回族自治区石嘴山市大武口区朝阳西街39号</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0952-2029121</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绍兴银行股份有限公司</w:t>
            </w:r>
          </w:p>
        </w:tc>
        <w:tc>
          <w:tcPr>
            <w:tcW w:w="1200" w:type="dxa"/>
            <w:vAlign w:val="center"/>
          </w:tcPr>
          <w:p>
            <w:pPr>
              <w:jc w:val="left"/>
            </w:pPr>
            <w:r>
              <w:t>住所</w:t>
            </w:r>
          </w:p>
        </w:tc>
        <w:tc>
          <w:tcPr>
            <w:tcW w:w="3800" w:type="dxa"/>
            <w:vAlign w:val="center"/>
          </w:tcPr>
          <w:p>
            <w:pPr>
              <w:jc w:val="center"/>
            </w:pPr>
            <w:r>
              <w:t>浙江省绍兴市越城区塔山街道中兴南路1号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4000896528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苏州银行股份有限公司</w:t>
            </w:r>
          </w:p>
        </w:tc>
        <w:tc>
          <w:tcPr>
            <w:tcW w:w="1200" w:type="dxa"/>
            <w:vAlign w:val="center"/>
          </w:tcPr>
          <w:p>
            <w:pPr>
              <w:jc w:val="left"/>
            </w:pPr>
            <w:r>
              <w:t>住所</w:t>
            </w:r>
          </w:p>
        </w:tc>
        <w:tc>
          <w:tcPr>
            <w:tcW w:w="3800" w:type="dxa"/>
            <w:vAlign w:val="center"/>
          </w:tcPr>
          <w:p>
            <w:pPr>
              <w:jc w:val="center"/>
            </w:pPr>
            <w:r>
              <w:t>中国（江苏）自由贸易试验区苏州片区苏州工业园区钟园路728号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0512-69868556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重庆富民银行股份有限公司</w:t>
            </w:r>
          </w:p>
        </w:tc>
        <w:tc>
          <w:tcPr>
            <w:tcW w:w="1200" w:type="dxa"/>
            <w:vAlign w:val="center"/>
          </w:tcPr>
          <w:p>
            <w:pPr>
              <w:jc w:val="left"/>
            </w:pPr>
            <w:r>
              <w:t>住所</w:t>
            </w:r>
          </w:p>
        </w:tc>
        <w:tc>
          <w:tcPr>
            <w:tcW w:w="3800" w:type="dxa"/>
            <w:vAlign w:val="center"/>
          </w:tcPr>
          <w:p>
            <w:pPr>
              <w:jc w:val="center"/>
            </w:pPr>
            <w:r>
              <w:t>重庆市渝北区财富东路2号涉外商务区一期B1栋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023-88298888</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重庆银行股份有限公司</w:t>
            </w:r>
          </w:p>
        </w:tc>
        <w:tc>
          <w:tcPr>
            <w:tcW w:w="1200" w:type="dxa"/>
            <w:vAlign w:val="center"/>
          </w:tcPr>
          <w:p>
            <w:pPr>
              <w:jc w:val="left"/>
            </w:pPr>
            <w:r>
              <w:t>住所</w:t>
            </w:r>
          </w:p>
        </w:tc>
        <w:tc>
          <w:tcPr>
            <w:tcW w:w="3800" w:type="dxa"/>
            <w:vAlign w:val="center"/>
          </w:tcPr>
          <w:p>
            <w:pPr>
              <w:jc w:val="center"/>
            </w:pPr>
            <w:r>
              <w:t>重庆市江北区永平门街6号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956023</w:t>
            </w:r>
          </w:p>
        </w:tc>
      </w:tr>
      <w:tr>
        <w:tblPrEx>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金华银行股份有限公司</w:t>
            </w:r>
          </w:p>
        </w:tc>
        <w:tc>
          <w:tcPr>
            <w:tcW w:w="1200" w:type="dxa"/>
            <w:vAlign w:val="center"/>
          </w:tcPr>
          <w:p>
            <w:pPr>
              <w:jc w:val="left"/>
            </w:pPr>
            <w:r>
              <w:t>住所</w:t>
            </w:r>
          </w:p>
        </w:tc>
        <w:tc>
          <w:tcPr>
            <w:tcW w:w="3800" w:type="dxa"/>
            <w:vAlign w:val="center"/>
          </w:tcPr>
          <w:p>
            <w:pPr>
              <w:jc w:val="center"/>
            </w:pPr>
            <w:r>
              <w:t>浙江省金华市丹溪路1388号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0579-96528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齐鲁银行股份有限公司</w:t>
            </w:r>
          </w:p>
        </w:tc>
        <w:tc>
          <w:tcPr>
            <w:tcW w:w="1200" w:type="dxa"/>
            <w:vAlign w:val="center"/>
          </w:tcPr>
          <w:p>
            <w:pPr>
              <w:jc w:val="left"/>
            </w:pPr>
            <w:r>
              <w:t>住所</w:t>
            </w:r>
          </w:p>
        </w:tc>
        <w:tc>
          <w:tcPr>
            <w:tcW w:w="3800" w:type="dxa"/>
            <w:vAlign w:val="center"/>
          </w:tcPr>
          <w:p>
            <w:pPr>
              <w:jc w:val="center"/>
            </w:pPr>
            <w:r>
              <w:t>山东省济南市历下区经十路10817号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0531-86075850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numPr>
          <w:ilvl w:val="0"/>
          <w:numId w:val="32"/>
        </w:numPr>
        <w:spacing w:line="360" w:lineRule="auto"/>
        <w:ind w:left="0" w:leftChars="0" w:firstLine="482" w:firstLineChars="200"/>
        <w:rPr>
          <w:rFonts w:hint="eastAsia" w:ascii="宋体" w:hAnsi="宋体" w:cs="宋体"/>
          <w:b/>
          <w:bCs/>
          <w:color w:val="000000"/>
          <w:sz w:val="24"/>
          <w:highlight w:val="none"/>
        </w:rPr>
      </w:pPr>
      <w:r>
        <w:rPr>
          <w:rFonts w:hint="eastAsia" w:ascii="宋体" w:hAnsi="宋体" w:cs="宋体"/>
          <w:b/>
          <w:bCs/>
          <w:color w:val="000000"/>
          <w:kern w:val="2"/>
          <w:sz w:val="24"/>
          <w:szCs w:val="24"/>
          <w:highlight w:val="none"/>
          <w:lang w:val="en-US" w:eastAsia="zh" w:bidi="ar-SA"/>
        </w:rPr>
        <w:t>关联关系方</w:t>
      </w:r>
    </w:p>
    <w:tbl>
      <w:tblPr>
        <w:tblStyle w:val="11"/>
        <w:tblW w:w="87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140"/>
        <w:gridCol w:w="4424"/>
        <w:gridCol w:w="214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2140" w:type="dxa"/>
            <w:vAlign w:val="center"/>
          </w:tcPr>
          <w:p>
            <w:pPr>
              <w:jc w:val="center"/>
            </w:pPr>
            <w:r>
              <w:rPr>
                <w:rFonts w:ascii="宋体" w:hAnsi="宋体" w:eastAsia="宋体"/>
                <w:sz w:val="22"/>
              </w:rPr>
              <w:t>关联方类型</w:t>
            </w:r>
          </w:p>
        </w:tc>
        <w:tc>
          <w:tcPr>
            <w:tcW w:w="4424" w:type="dxa"/>
            <w:vAlign w:val="center"/>
          </w:tcPr>
          <w:p>
            <w:pPr>
              <w:jc w:val="center"/>
            </w:pPr>
            <w:r>
              <w:rPr>
                <w:rFonts w:ascii="宋体" w:hAnsi="宋体" w:eastAsia="宋体"/>
                <w:sz w:val="22"/>
              </w:rPr>
              <w:t>关联方机构名称</w:t>
            </w:r>
          </w:p>
        </w:tc>
        <w:tc>
          <w:tcPr>
            <w:tcW w:w="2140" w:type="dxa"/>
            <w:vAlign w:val="center"/>
          </w:tcPr>
          <w:p>
            <w:pPr>
              <w:jc w:val="center"/>
            </w:pPr>
            <w:r>
              <w:rPr>
                <w:rFonts w:ascii="宋体" w:hAnsi="宋体" w:eastAsia="宋体"/>
                <w:sz w:val="22"/>
              </w:rPr>
              <w:t>关联情况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2140" w:type="dxa"/>
            <w:vAlign w:val="center"/>
          </w:tcPr>
          <w:p>
            <w:pPr>
              <w:jc w:val="center"/>
            </w:pPr>
            <w:r>
              <w:rPr>
                <w:rFonts w:ascii="宋体" w:hAnsi="宋体" w:eastAsia="宋体"/>
                <w:sz w:val="22"/>
              </w:rPr>
              <w:t>托管机构</w:t>
            </w:r>
          </w:p>
        </w:tc>
        <w:tc>
          <w:tcPr>
            <w:tcW w:w="4424" w:type="dxa"/>
            <w:vAlign w:val="center"/>
          </w:tcPr>
          <w:p>
            <w:pPr>
              <w:jc w:val="center"/>
            </w:pPr>
            <w:r>
              <w:rPr>
                <w:rFonts w:ascii="宋体" w:hAnsi="宋体" w:eastAsia="宋体"/>
                <w:sz w:val="22"/>
              </w:rPr>
              <w:t>杭州银行股份有限公司</w:t>
            </w:r>
          </w:p>
        </w:tc>
        <w:tc>
          <w:tcPr>
            <w:tcW w:w="2140" w:type="dxa"/>
            <w:vAlign w:val="center"/>
          </w:tcPr>
          <w:p>
            <w:pPr>
              <w:jc w:val="center"/>
            </w:pPr>
            <w:r>
              <w:rPr>
                <w:rFonts w:ascii="宋体" w:hAnsi="宋体" w:eastAsia="宋体"/>
                <w:sz w:val="22"/>
              </w:rPr>
              <w:t>控股股东</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2140" w:type="dxa"/>
            <w:vAlign w:val="center"/>
          </w:tcPr>
          <w:p>
            <w:pPr>
              <w:jc w:val="center"/>
            </w:pPr>
            <w:r>
              <w:rPr>
                <w:rFonts w:ascii="宋体" w:hAnsi="宋体" w:eastAsia="宋体"/>
                <w:sz w:val="22"/>
              </w:rPr>
              <w:t>销售机构</w:t>
            </w:r>
          </w:p>
        </w:tc>
        <w:tc>
          <w:tcPr>
            <w:tcW w:w="4424" w:type="dxa"/>
            <w:vAlign w:val="center"/>
          </w:tcPr>
          <w:p>
            <w:pPr>
              <w:jc w:val="center"/>
            </w:pPr>
            <w:r>
              <w:rPr>
                <w:rFonts w:ascii="宋体" w:hAnsi="宋体" w:eastAsia="宋体"/>
                <w:sz w:val="22"/>
              </w:rPr>
              <w:t>杭州银行股份有限公司</w:t>
            </w:r>
          </w:p>
        </w:tc>
        <w:tc>
          <w:tcPr>
            <w:tcW w:w="2140" w:type="dxa"/>
            <w:vAlign w:val="center"/>
          </w:tcPr>
          <w:p>
            <w:pPr>
              <w:jc w:val="center"/>
            </w:pPr>
            <w:r>
              <w:rPr>
                <w:rFonts w:ascii="宋体" w:hAnsi="宋体" w:eastAsia="宋体"/>
                <w:sz w:val="22"/>
              </w:rPr>
              <w:t>控股股东</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rPr>
          <w:trHeight w:val="454" w:hRule="atLeast"/>
        </w:trPr>
        <w:tc>
          <w:tcPr>
            <w:tcW w:w="2140" w:type="dxa"/>
            <w:vAlign w:val="center"/>
          </w:tcPr>
          <w:p>
            <w:pPr>
              <w:jc w:val="center"/>
            </w:pPr>
            <w:r>
              <w:rPr>
                <w:rFonts w:ascii="宋体" w:hAnsi="宋体" w:eastAsia="宋体"/>
                <w:sz w:val="22"/>
              </w:rPr>
              <w:t>销售机构</w:t>
            </w:r>
          </w:p>
        </w:tc>
        <w:tc>
          <w:tcPr>
            <w:tcW w:w="4424" w:type="dxa"/>
            <w:vAlign w:val="center"/>
          </w:tcPr>
          <w:p>
            <w:pPr>
              <w:jc w:val="center"/>
            </w:pPr>
            <w:r>
              <w:rPr>
                <w:rFonts w:ascii="宋体" w:hAnsi="宋体" w:eastAsia="宋体"/>
                <w:sz w:val="22"/>
              </w:rPr>
              <w:t>石嘴山银行股份有限公司</w:t>
            </w:r>
          </w:p>
        </w:tc>
        <w:tc>
          <w:tcPr>
            <w:tcW w:w="2140" w:type="dxa"/>
            <w:vAlign w:val="center"/>
          </w:tcPr>
          <w:p>
            <w:pPr>
              <w:jc w:val="center"/>
            </w:pPr>
            <w:r>
              <w:rPr>
                <w:rFonts w:ascii="宋体" w:hAnsi="宋体" w:eastAsia="宋体"/>
                <w:sz w:val="22"/>
              </w:rPr>
              <w:t>托管机构控股子公司</w:t>
            </w:r>
          </w:p>
        </w:tc>
      </w:tr>
    </w:tbl>
    <w:p>
      <w:pPr>
        <w:spacing w:line="360" w:lineRule="auto"/>
        <w:jc w:val="left"/>
        <w:rPr>
          <w:rFonts w:ascii="宋体" w:hAnsi="宋体" w:cs="宋体"/>
          <w:bCs/>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20"/>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5"/>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5"/>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因持有股票而享有的配股权，采用估值技术确定公允价值。</w:t>
      </w:r>
    </w:p>
    <w:p>
      <w:pPr>
        <w:numPr>
          <w:ilvl w:val="0"/>
          <w:numId w:val="35"/>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4"/>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20"/>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20"/>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20"/>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暂停估值情形</w:t>
      </w:r>
    </w:p>
    <w:p>
      <w:pPr>
        <w:numPr>
          <w:ilvl w:val="0"/>
          <w:numId w:val="3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3"/>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费用及税收</w:t>
      </w:r>
    </w:p>
    <w:p>
      <w:pPr>
        <w:numPr>
          <w:ilvl w:val="0"/>
          <w:numId w:val="3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费用计提方法、标准及支付方式</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lang w:val="en-US" w:eastAsia="zh-CN"/>
        </w:rPr>
        <w:t>以</w:t>
      </w:r>
      <w:r>
        <w:rPr>
          <w:rFonts w:hint="eastAsia" w:ascii="宋体" w:hAnsi="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cs="宋体"/>
          <w:bCs/>
          <w:color w:val="000000"/>
          <w:sz w:val="24"/>
          <w:szCs w:val="24"/>
          <w:highlight w:val="none"/>
          <w:lang w:val="en-US" w:eastAsia="zh-CN"/>
        </w:rPr>
        <w:t>份额</w:t>
      </w:r>
      <w:r>
        <w:rPr>
          <w:rFonts w:hint="eastAsia" w:ascii="宋体" w:hAnsi="宋体" w:cs="宋体"/>
          <w:bCs/>
          <w:color w:val="000000"/>
          <w:sz w:val="24"/>
          <w:szCs w:val="24"/>
          <w:highlight w:val="none"/>
        </w:rPr>
        <w:t>〗为例</w:t>
      </w:r>
      <w:r>
        <w:rPr>
          <w:rFonts w:hint="eastAsia" w:ascii="宋体" w:hAnsi="宋体" w:cs="宋体"/>
          <w:bCs/>
          <w:color w:val="000000"/>
          <w:sz w:val="24"/>
          <w:szCs w:val="24"/>
          <w:highlight w:val="none"/>
          <w:lang w:eastAsia="zh-CN"/>
        </w:rPr>
        <w:t>，</w:t>
      </w:r>
      <w:r>
        <w:rPr>
          <w:rFonts w:hint="eastAsia" w:ascii="宋体" w:hAnsi="宋体" w:cs="宋体"/>
          <w:bCs/>
          <w:color w:val="000000"/>
          <w:sz w:val="24"/>
          <w:szCs w:val="24"/>
          <w:highlight w:val="none"/>
        </w:rPr>
        <w:t>理财计划财产的年化</w:t>
      </w: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率为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lang w:eastAsia="zh-CN"/>
        </w:rPr>
      </w:pPr>
      <w:r>
        <w:rPr>
          <w:rFonts w:hint="eastAsia" w:ascii="宋体" w:hAnsi="宋体" w:cs="宋体"/>
          <w:bCs/>
          <w:color w:val="000000"/>
          <w:sz w:val="24"/>
          <w:szCs w:val="24"/>
          <w:highlight w:val="none"/>
        </w:rPr>
        <w:t>H为每日应计提的</w:t>
      </w:r>
      <w:r>
        <w:rPr>
          <w:rFonts w:hint="eastAsia" w:ascii="宋体" w:hAnsi="宋体" w:cs="宋体"/>
          <w:bCs/>
          <w:color w:val="000000"/>
          <w:sz w:val="24"/>
          <w:szCs w:val="24"/>
          <w:highlight w:val="none"/>
          <w:lang w:eastAsia="zh-CN"/>
        </w:rPr>
        <w:t>销售服务费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lang w:eastAsia="zh-CN"/>
        </w:rPr>
        <w:t>销售服务费</w:t>
      </w:r>
      <w:r>
        <w:rPr>
          <w:rFonts w:hint="eastAsia" w:ascii="宋体" w:hAnsi="宋体" w:cs="宋体"/>
          <w:bCs/>
          <w:color w:val="000000"/>
          <w:sz w:val="24"/>
          <w:szCs w:val="24"/>
          <w:highlight w:val="none"/>
        </w:rPr>
        <w:t>原则上按日计提。</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理财计划财产的年化托管费为</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0.025</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H为每日应计提的托管费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szCs w:val="24"/>
          <w:highlight w:val="none"/>
        </w:rPr>
        <w:t>托管费原则上按日计提。</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以</w:t>
      </w:r>
      <w:r>
        <w:rPr>
          <w:rFonts w:hint="eastAsia" w:ascii="宋体" w:hAnsi="宋体" w:eastAsia="宋体" w:cs="宋体"/>
          <w:bCs/>
          <w:color w:val="000000"/>
          <w:sz w:val="24"/>
          <w:szCs w:val="24"/>
          <w:highlight w:val="none"/>
        </w:rPr>
        <w:t>〖</w:t>
      </w:r>
      <w:r>
        <w:rPr>
          <w:rFonts w:hint="eastAsia" w:ascii="宋体" w:hAnsi="宋体" w:eastAsia="宋体" w:cs="宋体"/>
          <w:bCs/>
          <w:color w:val="000000"/>
          <w:kern w:val="2"/>
          <w:sz w:val="24"/>
          <w:szCs w:val="24"/>
          <w:highlight w:val="none"/>
          <w:lang w:val="en-US" w:eastAsia="zh-CN" w:bidi="ar-SA"/>
        </w:rPr>
        <w:t>A</w:t>
      </w:r>
      <w:r>
        <w:rPr>
          <w:rFonts w:hint="eastAsia" w:ascii="宋体" w:hAnsi="宋体" w:eastAsia="宋体" w:cs="宋体"/>
          <w:bCs/>
          <w:color w:val="000000"/>
          <w:sz w:val="24"/>
          <w:szCs w:val="24"/>
          <w:highlight w:val="none"/>
          <w:lang w:val="en-US" w:eastAsia="zh-CN"/>
        </w:rPr>
        <w:t>份额</w:t>
      </w:r>
      <w:r>
        <w:rPr>
          <w:rFonts w:hint="eastAsia" w:ascii="宋体" w:hAnsi="宋体" w:eastAsia="宋体" w:cs="宋体"/>
          <w:bCs/>
          <w:color w:val="000000"/>
          <w:sz w:val="24"/>
          <w:szCs w:val="24"/>
          <w:highlight w:val="none"/>
        </w:rPr>
        <w:t>〗为例</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理财计划财产的年化固定管理费率为</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，计算方法如下：</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H＝E×</w:t>
      </w:r>
      <w:r>
        <w:rPr>
          <w:rFonts w:hint="eastAsia" w:ascii="宋体" w:hAnsi="宋体" w:eastAsia="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0.30</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w:t>
      </w:r>
      <w:r>
        <w:rPr>
          <w:rFonts w:hint="eastAsia" w:ascii="宋体" w:hAnsi="宋体" w:eastAsia="宋体" w:cs="宋体"/>
          <w:bCs/>
          <w:color w:val="000000"/>
          <w:sz w:val="24"/>
          <w:szCs w:val="24"/>
          <w:highlight w:val="none"/>
        </w:rPr>
        <w:t>÷365</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H为每日应计提的</w:t>
      </w:r>
      <w:r>
        <w:rPr>
          <w:rFonts w:hint="eastAsia" w:ascii="宋体" w:hAnsi="宋体" w:eastAsia="宋体" w:cs="宋体"/>
          <w:bCs/>
          <w:color w:val="000000"/>
          <w:sz w:val="24"/>
          <w:szCs w:val="24"/>
          <w:highlight w:val="none"/>
          <w:lang w:eastAsia="zh-CN"/>
        </w:rPr>
        <w:t>固定</w:t>
      </w:r>
      <w:r>
        <w:rPr>
          <w:rFonts w:hint="eastAsia" w:ascii="宋体" w:hAnsi="宋体" w:eastAsia="宋体" w:cs="宋体"/>
          <w:bCs/>
          <w:color w:val="000000"/>
          <w:sz w:val="24"/>
          <w:szCs w:val="24"/>
          <w:highlight w:val="none"/>
        </w:rPr>
        <w:t>管理费</w:t>
      </w:r>
    </w:p>
    <w:p>
      <w:pPr>
        <w:spacing w:line="360" w:lineRule="auto"/>
        <w:ind w:firstLine="480" w:firstLineChars="200"/>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eastAsia="宋体" w:cs="宋体"/>
          <w:bCs/>
          <w:color w:val="000000"/>
          <w:sz w:val="24"/>
          <w:szCs w:val="24"/>
          <w:highlight w:val="none"/>
        </w:rPr>
        <w:t>固定管理费原则上按日计提</w:t>
      </w:r>
      <w:r>
        <w:rPr>
          <w:rFonts w:hint="eastAsia" w:ascii="宋体" w:hAnsi="宋体" w:eastAsia="宋体" w:cs="宋体"/>
          <w:bCs/>
          <w:color w:val="000000"/>
          <w:sz w:val="24"/>
          <w:szCs w:val="24"/>
          <w:highlight w:val="none"/>
          <w:lang w:eastAsia="zh-CN"/>
        </w:rPr>
        <w:t>，管理人有权</w:t>
      </w:r>
      <w:r>
        <w:rPr>
          <w:rFonts w:hint="eastAsia" w:ascii="宋体" w:hAnsi="宋体" w:eastAsia="宋体" w:cs="宋体"/>
          <w:bCs/>
          <w:color w:val="000000"/>
          <w:sz w:val="24"/>
          <w:szCs w:val="24"/>
          <w:highlight w:val="none"/>
          <w:lang w:val="en-US" w:eastAsia="zh-CN"/>
        </w:rPr>
        <w:t>根据实际运作情况</w:t>
      </w:r>
      <w:r>
        <w:rPr>
          <w:rFonts w:hint="eastAsia" w:ascii="宋体" w:hAnsi="宋体" w:eastAsia="宋体" w:cs="宋体"/>
          <w:bCs/>
          <w:color w:val="000000"/>
          <w:sz w:val="24"/>
          <w:szCs w:val="24"/>
          <w:highlight w:val="none"/>
          <w:lang w:eastAsia="zh-CN"/>
        </w:rPr>
        <w:t>减免固定管理费。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9"/>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申购费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本理财计划免除申购费。</w:t>
      </w:r>
    </w:p>
    <w:p>
      <w:pPr>
        <w:numPr>
          <w:ilvl w:val="0"/>
          <w:numId w:val="39"/>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赎回费</w:t>
      </w:r>
    </w:p>
    <w:p>
      <w:pPr>
        <w:spacing w:line="360" w:lineRule="auto"/>
        <w:ind w:firstLine="480" w:firstLineChars="200"/>
        <w:jc w:val="left"/>
        <w:rPr>
          <w:rFonts w:ascii="宋体" w:hAnsi="宋体" w:cs="宋体"/>
          <w:b/>
          <w:color w:val="FF0000"/>
          <w:sz w:val="24"/>
          <w:highlight w:val="none"/>
        </w:rPr>
      </w:pPr>
      <w:r>
        <w:rPr>
          <w:rFonts w:hint="eastAsia" w:ascii="宋体" w:hAnsi="宋体" w:cs="宋体"/>
          <w:bCs/>
          <w:color w:val="000000"/>
          <w:sz w:val="24"/>
          <w:highlight w:val="none"/>
        </w:rPr>
        <w:t>本理财计划免除赎回费。</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理财管理人根据理财计划投资情况计算浮动管理费，本理财计划</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投资周期的</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折合年化收益率超</w:t>
      </w:r>
      <w:r>
        <w:rPr>
          <w:rFonts w:hint="eastAsia" w:ascii="宋体" w:hAnsi="宋体" w:cs="宋体"/>
          <w:bCs/>
          <w:color w:val="000000"/>
          <w:sz w:val="24"/>
          <w:szCs w:val="24"/>
          <w:highlight w:val="none"/>
          <w:lang w:eastAsia="zh-CN"/>
        </w:rPr>
        <w:t>过</w:t>
      </w:r>
      <w:r>
        <w:rPr>
          <w:rFonts w:hint="eastAsia" w:ascii="宋体" w:hAnsi="宋体" w:eastAsia="宋体" w:cs="宋体"/>
          <w:bCs/>
          <w:color w:val="000000"/>
          <w:kern w:val="2"/>
          <w:sz w:val="24"/>
          <w:szCs w:val="24"/>
          <w:highlight w:val="none"/>
          <w:lang w:val="en-US" w:eastAsia="zh-CN" w:bidi="ar-SA"/>
        </w:rPr>
        <w:t>2.3</w:t>
      </w:r>
      <w:r>
        <w:rPr>
          <w:rFonts w:hint="eastAsia" w:ascii="宋体" w:hAnsi="宋体" w:cs="宋体"/>
          <w:bCs/>
          <w:color w:val="000000"/>
          <w:sz w:val="24"/>
          <w:szCs w:val="24"/>
          <w:highlight w:val="none"/>
          <w:lang w:eastAsia="zh-CN"/>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的部分管理人提取</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50</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作为浮动管理费，每个投资周期结束后收取。本理财计划投资周期的折合年化收益率若小于或等于</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2.3</w:t>
      </w:r>
      <w:r>
        <w:rPr>
          <w:rFonts w:hint="eastAsia" w:ascii="宋体" w:hAnsi="宋体" w:cs="宋体"/>
          <w:bCs/>
          <w:color w:val="000000"/>
          <w:sz w:val="24"/>
          <w:szCs w:val="24"/>
          <w:highlight w:val="none"/>
        </w:rPr>
        <w:t>%</w:t>
      </w:r>
      <w:r>
        <w:rPr>
          <w:rFonts w:hint="eastAsia" w:ascii="宋体" w:hAnsi="宋体" w:cs="宋体"/>
          <w:color w:val="000000"/>
          <w:sz w:val="24"/>
          <w:szCs w:val="24"/>
          <w:highlight w:val="none"/>
        </w:rPr>
        <w:t>〗</w:t>
      </w:r>
      <w:r>
        <w:rPr>
          <w:rFonts w:hint="eastAsia" w:ascii="宋体" w:hAnsi="宋体" w:cs="宋体"/>
          <w:bCs/>
          <w:color w:val="000000"/>
          <w:sz w:val="24"/>
          <w:szCs w:val="24"/>
          <w:highlight w:val="none"/>
        </w:rPr>
        <w:t>则不收取浮动管理费。</w:t>
      </w:r>
      <w:r>
        <w:rPr>
          <w:rFonts w:hint="eastAsia" w:ascii="宋体" w:hAnsi="宋体" w:cs="宋体"/>
          <w:bCs/>
          <w:color w:val="000000"/>
          <w:sz w:val="24"/>
          <w:szCs w:val="24"/>
          <w:highlight w:val="none"/>
          <w:lang w:eastAsia="zh-CN"/>
        </w:rPr>
        <w:t>浮动管理费原则上按估值日计提，</w:t>
      </w:r>
      <w:r>
        <w:rPr>
          <w:rFonts w:hint="eastAsia" w:ascii="宋体" w:hAnsi="宋体" w:cs="宋体"/>
          <w:bCs/>
          <w:color w:val="000000"/>
          <w:sz w:val="24"/>
          <w:szCs w:val="24"/>
          <w:highlight w:val="none"/>
          <w:lang w:val="en-US" w:eastAsia="zh-CN"/>
        </w:rPr>
        <w:t>赎回/理财计划</w:t>
      </w:r>
      <w:r>
        <w:rPr>
          <w:rFonts w:hint="eastAsia" w:ascii="宋体" w:hAnsi="宋体" w:cs="宋体"/>
          <w:bCs/>
          <w:color w:val="000000"/>
          <w:sz w:val="24"/>
          <w:szCs w:val="24"/>
          <w:highlight w:val="none"/>
          <w:lang w:eastAsia="zh-CN"/>
        </w:rPr>
        <w:t>到期收取。以</w:t>
      </w:r>
      <w:r>
        <w:rPr>
          <w:rFonts w:hint="eastAsia" w:ascii="宋体" w:hAnsi="宋体" w:cs="宋体"/>
          <w:color w:val="000000"/>
          <w:sz w:val="24"/>
          <w:szCs w:val="24"/>
          <w:highlight w:val="none"/>
        </w:rPr>
        <w:t>〖</w:t>
      </w:r>
      <w:r>
        <w:rPr>
          <w:rFonts w:hint="eastAsia" w:ascii="宋体" w:hAnsi="宋体" w:eastAsia="宋体" w:cs="宋体"/>
          <w:color w:val="000000"/>
          <w:kern w:val="2"/>
          <w:sz w:val="24"/>
          <w:szCs w:val="24"/>
          <w:highlight w:val="none"/>
          <w:lang w:val="en-US" w:eastAsia="zh-CN" w:bidi="ar-SA"/>
        </w:rPr>
        <w:t>A</w:t>
      </w:r>
      <w:r>
        <w:rPr>
          <w:rFonts w:hint="eastAsia" w:ascii="宋体" w:hAnsi="宋体" w:cs="宋体"/>
          <w:color w:val="000000"/>
          <w:sz w:val="24"/>
          <w:szCs w:val="24"/>
          <w:highlight w:val="none"/>
          <w:lang w:val="en-US" w:eastAsia="zh-CN"/>
        </w:rPr>
        <w:t>份额</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eastAsia="zh-CN"/>
        </w:rPr>
        <w:t>为例，</w:t>
      </w:r>
      <w:r>
        <w:rPr>
          <w:rFonts w:hint="eastAsia" w:ascii="宋体" w:hAnsi="宋体" w:cs="宋体"/>
          <w:bCs/>
          <w:color w:val="000000"/>
          <w:sz w:val="24"/>
          <w:szCs w:val="24"/>
          <w:highlight w:val="none"/>
        </w:rPr>
        <w:t>具体计算方法如下：</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H＝E×NAV0×(K-R)×〖</w:t>
      </w:r>
      <w:r>
        <w:rPr>
          <w:rFonts w:hint="eastAsia" w:ascii="宋体" w:hAnsi="宋体" w:eastAsia="宋体" w:cs="宋体"/>
          <w:bCs/>
          <w:color w:val="000000"/>
          <w:kern w:val="2"/>
          <w:sz w:val="24"/>
          <w:szCs w:val="24"/>
          <w:highlight w:val="none"/>
          <w:lang w:val="en-US" w:eastAsia="zh-CN" w:bidi="ar-SA"/>
        </w:rPr>
        <w:t>50</w:t>
      </w:r>
      <w:r>
        <w:rPr>
          <w:rFonts w:hint="eastAsia" w:ascii="宋体" w:hAnsi="宋体" w:cs="宋体"/>
          <w:bCs/>
          <w:color w:val="000000"/>
          <w:sz w:val="24"/>
          <w:szCs w:val="24"/>
          <w:highlight w:val="none"/>
        </w:rPr>
        <w:t>%〗×N÷365</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其中，K=(NAV1-NAV0+T)÷NAV0×365÷N</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H为当前确认日应收取浮动管理费</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E为本</w:t>
      </w:r>
      <w:r>
        <w:rPr>
          <w:rFonts w:hint="eastAsia" w:ascii="宋体" w:hAnsi="宋体" w:cs="宋体"/>
          <w:bCs/>
          <w:color w:val="000000"/>
          <w:sz w:val="24"/>
          <w:szCs w:val="24"/>
          <w:highlight w:val="none"/>
          <w:lang w:val="en-US" w:eastAsia="zh-CN"/>
        </w:rPr>
        <w:t>理财计划</w:t>
      </w:r>
      <w:r>
        <w:rPr>
          <w:rFonts w:hint="eastAsia" w:ascii="宋体" w:hAnsi="宋体" w:cs="宋体"/>
          <w:bCs/>
          <w:color w:val="000000"/>
          <w:sz w:val="24"/>
          <w:szCs w:val="24"/>
          <w:highlight w:val="none"/>
        </w:rPr>
        <w:t>上一个确认日的存续份额</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K为收取浮动管理费前投资者赎回份额对应持有区间折合年化收益率</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R为本次投资周期的</w:t>
      </w:r>
      <w:r>
        <w:rPr>
          <w:rFonts w:hint="eastAsia" w:ascii="宋体" w:hAnsi="宋体" w:cs="宋体"/>
          <w:bCs/>
          <w:color w:val="000000"/>
          <w:sz w:val="24"/>
          <w:szCs w:val="24"/>
          <w:highlight w:val="none"/>
          <w:lang w:val="en-US" w:eastAsia="zh-CN"/>
        </w:rPr>
        <w:t>浮动管理费计提基数</w:t>
      </w:r>
    </w:p>
    <w:p>
      <w:pPr>
        <w:spacing w:line="360" w:lineRule="auto"/>
        <w:ind w:firstLine="480" w:firstLineChars="200"/>
        <w:jc w:val="left"/>
        <w:rPr>
          <w:rFonts w:hint="eastAsia" w:ascii="宋体" w:hAnsi="宋体" w:cs="宋体"/>
          <w:bCs/>
          <w:color w:val="000000"/>
          <w:sz w:val="24"/>
          <w:szCs w:val="24"/>
          <w:highlight w:val="none"/>
        </w:rPr>
      </w:pPr>
      <w:r>
        <w:rPr>
          <w:rFonts w:hint="eastAsia" w:ascii="宋体" w:hAnsi="宋体" w:cs="宋体"/>
          <w:bCs/>
          <w:color w:val="000000"/>
          <w:sz w:val="24"/>
          <w:szCs w:val="24"/>
          <w:highlight w:val="none"/>
        </w:rPr>
        <w:t>N为上一个确认日（含）至当前确认日（不含）的实际理财天数</w:t>
      </w:r>
    </w:p>
    <w:p>
      <w:pPr>
        <w:spacing w:line="360" w:lineRule="auto"/>
        <w:ind w:firstLine="480" w:firstLineChars="200"/>
        <w:jc w:val="left"/>
        <w:rPr>
          <w:rFonts w:hint="eastAsia" w:ascii="宋体" w:hAnsi="宋体" w:eastAsia="宋体" w:cs="宋体"/>
          <w:bCs/>
          <w:color w:val="FF0000"/>
          <w:kern w:val="2"/>
          <w:sz w:val="24"/>
          <w:szCs w:val="24"/>
          <w:highlight w:val="none"/>
          <w:lang w:val="en-US" w:eastAsia="zh-CN" w:bidi="ar-SA"/>
        </w:rPr>
      </w:pPr>
      <w:r>
        <w:rPr>
          <w:rFonts w:hint="eastAsia" w:ascii="宋体" w:hAnsi="宋体" w:cs="宋体"/>
          <w:bCs/>
          <w:color w:val="000000"/>
          <w:sz w:val="24"/>
          <w:szCs w:val="24"/>
          <w:highlight w:val="none"/>
        </w:rPr>
        <w:t>T为当前投资周期内每单位份额的实际分红金额的合计（如有）</w:t>
      </w:r>
    </w:p>
    <w:p>
      <w:pPr>
        <w:numPr>
          <w:ilvl w:val="0"/>
          <w:numId w:val="40"/>
        </w:numPr>
        <w:spacing w:line="360" w:lineRule="auto"/>
        <w:ind w:left="0" w:leftChars="0" w:firstLine="482" w:firstLineChars="200"/>
        <w:jc w:val="left"/>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信息技术服务费</w:t>
      </w:r>
    </w:p>
    <w:p>
      <w:pPr>
        <w:numPr>
          <w:ilvl w:val="0"/>
          <w:numId w:val="0"/>
        </w:numPr>
        <w:spacing w:line="360" w:lineRule="auto"/>
        <w:ind w:left="420" w:leftChars="200"/>
        <w:jc w:val="left"/>
        <w:rPr>
          <w:rFonts w:hint="eastAsia" w:ascii="宋体" w:hAnsi="宋体" w:cs="宋体"/>
          <w:bCs/>
          <w:color w:val="000000"/>
          <w:kern w:val="2"/>
          <w:sz w:val="24"/>
          <w:szCs w:val="24"/>
          <w:highlight w:val="none"/>
          <w:lang w:val="en-US" w:eastAsia="zh-CN" w:bidi="ar-SA"/>
        </w:rPr>
      </w:pPr>
      <w:r>
        <w:rPr>
          <w:rFonts w:hint="eastAsia" w:ascii="宋体" w:hAnsi="宋体" w:cs="宋体"/>
          <w:bCs/>
          <w:color w:val="000000"/>
          <w:kern w:val="2"/>
          <w:sz w:val="24"/>
          <w:szCs w:val="24"/>
          <w:highlight w:val="none"/>
          <w:lang w:val="en-US" w:eastAsia="zh-CN" w:bidi="ar-SA"/>
        </w:rPr>
        <w:t>理财计划财产的年化信息技术服务费为〖</w:t>
      </w:r>
      <w:r>
        <w:rPr>
          <w:rFonts w:hint="eastAsia" w:ascii="宋体" w:hAnsi="宋体" w:eastAsia="宋体" w:cs="宋体"/>
          <w:bCs/>
          <w:color w:val="000000"/>
          <w:kern w:val="2"/>
          <w:sz w:val="24"/>
          <w:szCs w:val="24"/>
          <w:highlight w:val="none"/>
          <w:lang w:val="en-US" w:eastAsia="zh-CN" w:bidi="ar-SA"/>
        </w:rPr>
        <w:t>--</w:t>
      </w:r>
      <w:r>
        <w:rPr>
          <w:rFonts w:hint="eastAsia" w:ascii="宋体" w:hAnsi="宋体" w:cs="宋体"/>
          <w:bCs/>
          <w:color w:val="000000"/>
          <w:kern w:val="2"/>
          <w:sz w:val="24"/>
          <w:szCs w:val="24"/>
          <w:highlight w:val="none"/>
          <w:lang w:val="en-US" w:eastAsia="zh-CN" w:bidi="ar-SA"/>
        </w:rPr>
        <w:t>%〗，计算方法如下：</w:t>
      </w:r>
    </w:p>
    <w:p>
      <w:pPr>
        <w:numPr>
          <w:ilvl w:val="0"/>
          <w:numId w:val="0"/>
        </w:numPr>
        <w:spacing w:line="360" w:lineRule="auto"/>
        <w:ind w:left="420" w:leftChars="200"/>
        <w:jc w:val="left"/>
        <w:rPr>
          <w:rFonts w:hint="eastAsia" w:ascii="宋体" w:hAnsi="宋体" w:cs="宋体"/>
          <w:bCs/>
          <w:color w:val="000000"/>
          <w:kern w:val="2"/>
          <w:sz w:val="24"/>
          <w:szCs w:val="24"/>
          <w:highlight w:val="none"/>
          <w:lang w:val="en-US" w:eastAsia="zh-CN" w:bidi="ar-SA"/>
        </w:rPr>
      </w:pPr>
      <w:r>
        <w:rPr>
          <w:rFonts w:hint="eastAsia" w:ascii="宋体" w:hAnsi="宋体" w:cs="宋体"/>
          <w:bCs/>
          <w:color w:val="000000"/>
          <w:kern w:val="2"/>
          <w:sz w:val="24"/>
          <w:szCs w:val="24"/>
          <w:highlight w:val="none"/>
          <w:lang w:val="en-US" w:eastAsia="zh-CN" w:bidi="ar-SA"/>
        </w:rPr>
        <w:t>H＝E×〖</w:t>
      </w:r>
      <w:r>
        <w:rPr>
          <w:rFonts w:hint="eastAsia" w:ascii="宋体" w:hAnsi="宋体" w:eastAsia="宋体" w:cs="宋体"/>
          <w:bCs/>
          <w:color w:val="000000"/>
          <w:kern w:val="2"/>
          <w:sz w:val="24"/>
          <w:szCs w:val="24"/>
          <w:highlight w:val="none"/>
          <w:lang w:val="en-US" w:eastAsia="zh-CN" w:bidi="ar-SA"/>
        </w:rPr>
        <w:t>--</w:t>
      </w:r>
      <w:r>
        <w:rPr>
          <w:rFonts w:hint="eastAsia" w:ascii="宋体" w:hAnsi="宋体" w:cs="宋体"/>
          <w:bCs/>
          <w:color w:val="000000"/>
          <w:kern w:val="2"/>
          <w:sz w:val="24"/>
          <w:szCs w:val="24"/>
          <w:highlight w:val="none"/>
          <w:lang w:val="en-US" w:eastAsia="zh-CN" w:bidi="ar-SA"/>
        </w:rPr>
        <w:t>%〗÷365</w:t>
      </w:r>
    </w:p>
    <w:p>
      <w:pPr>
        <w:numPr>
          <w:ilvl w:val="0"/>
          <w:numId w:val="0"/>
        </w:numPr>
        <w:spacing w:line="360" w:lineRule="auto"/>
        <w:ind w:left="420" w:leftChars="200"/>
        <w:jc w:val="left"/>
        <w:rPr>
          <w:rFonts w:hint="eastAsia" w:ascii="宋体" w:hAnsi="宋体" w:cs="宋体"/>
          <w:bCs/>
          <w:color w:val="000000"/>
          <w:kern w:val="2"/>
          <w:sz w:val="24"/>
          <w:szCs w:val="24"/>
          <w:highlight w:val="none"/>
          <w:lang w:val="en-US" w:eastAsia="zh-CN" w:bidi="ar-SA"/>
        </w:rPr>
      </w:pPr>
      <w:r>
        <w:rPr>
          <w:rFonts w:hint="eastAsia" w:ascii="宋体" w:hAnsi="宋体" w:cs="宋体"/>
          <w:bCs/>
          <w:color w:val="000000"/>
          <w:kern w:val="2"/>
          <w:sz w:val="24"/>
          <w:szCs w:val="24"/>
          <w:highlight w:val="none"/>
          <w:lang w:val="en-US" w:eastAsia="zh-CN" w:bidi="ar-SA"/>
        </w:rPr>
        <w:t>H为每日应计提的信息技术服务费</w:t>
      </w:r>
    </w:p>
    <w:p>
      <w:pPr>
        <w:numPr>
          <w:ilvl w:val="0"/>
          <w:numId w:val="0"/>
        </w:numPr>
        <w:spacing w:line="360" w:lineRule="auto"/>
        <w:ind w:left="420" w:leftChars="200"/>
        <w:jc w:val="left"/>
        <w:rPr>
          <w:rFonts w:hint="eastAsia" w:ascii="宋体" w:hAnsi="宋体" w:cs="宋体"/>
          <w:bCs/>
          <w:color w:val="000000"/>
          <w:kern w:val="2"/>
          <w:sz w:val="24"/>
          <w:szCs w:val="24"/>
          <w:highlight w:val="none"/>
          <w:lang w:val="en-US" w:eastAsia="zh-CN" w:bidi="ar-SA"/>
        </w:rPr>
      </w:pPr>
      <w:r>
        <w:rPr>
          <w:rFonts w:hint="eastAsia" w:ascii="宋体" w:hAnsi="宋体" w:cs="宋体"/>
          <w:bCs/>
          <w:color w:val="000000"/>
          <w:kern w:val="2"/>
          <w:sz w:val="24"/>
          <w:szCs w:val="24"/>
          <w:highlight w:val="none"/>
          <w:lang w:val="en-US" w:eastAsia="zh-CN" w:bidi="ar-SA"/>
        </w:rPr>
        <w:t>E为本理财计划前一日资产净值</w:t>
      </w:r>
    </w:p>
    <w:p>
      <w:pPr>
        <w:numPr>
          <w:ilvl w:val="0"/>
          <w:numId w:val="0"/>
        </w:numPr>
        <w:spacing w:line="360" w:lineRule="auto"/>
        <w:ind w:left="420" w:leftChars="200"/>
        <w:jc w:val="left"/>
        <w:rPr>
          <w:rFonts w:hint="eastAsia" w:ascii="宋体" w:hAnsi="宋体" w:cs="宋体"/>
          <w:bCs/>
          <w:color w:val="000000"/>
          <w:kern w:val="2"/>
          <w:sz w:val="24"/>
          <w:szCs w:val="24"/>
          <w:highlight w:val="none"/>
          <w:lang w:val="en-US" w:eastAsia="zh-CN" w:bidi="ar-SA"/>
        </w:rPr>
      </w:pPr>
      <w:r>
        <w:rPr>
          <w:rFonts w:hint="eastAsia" w:ascii="宋体" w:hAnsi="宋体" w:cs="宋体"/>
          <w:bCs/>
          <w:color w:val="000000"/>
          <w:kern w:val="2"/>
          <w:sz w:val="24"/>
          <w:szCs w:val="24"/>
          <w:highlight w:val="none"/>
          <w:lang w:val="en-US" w:eastAsia="zh-CN" w:bidi="ar-SA"/>
        </w:rPr>
        <w:t>信息技术服务费原则上按日计提。</w:t>
      </w:r>
    </w:p>
    <w:p>
      <w:pPr>
        <w:numPr>
          <w:ilvl w:val="0"/>
          <w:numId w:val="40"/>
        </w:numPr>
        <w:spacing w:line="360" w:lineRule="auto"/>
        <w:ind w:left="0" w:leftChars="0"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4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收益计算</w:t>
      </w:r>
    </w:p>
    <w:p>
      <w:pPr>
        <w:numPr>
          <w:ilvl w:val="0"/>
          <w:numId w:val="44"/>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单位净值为提取相关费用及税费后的单位理财计划份额净值。</w:t>
      </w:r>
    </w:p>
    <w:p>
      <w:pPr>
        <w:numPr>
          <w:ilvl w:val="0"/>
          <w:numId w:val="44"/>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示例说明</w:t>
      </w:r>
    </w:p>
    <w:p>
      <w:pPr>
        <w:numPr>
          <w:ilvl w:val="0"/>
          <w:numId w:val="0"/>
        </w:numPr>
        <w:spacing w:line="360" w:lineRule="auto"/>
        <w:ind w:left="420" w:leftChars="0"/>
        <w:jc w:val="left"/>
        <w:outlineLvl w:val="9"/>
        <w:rPr>
          <w:rFonts w:hint="eastAsia" w:ascii="宋体" w:hAnsi="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后，投资收益率超过浮动管理费计提基数。</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浮动管理费计提基数为5.00%，期间无分红。赎回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后，如理财计划净值为1.0615，此时，(1.0615/1.00-1)×365/362=6.20%&gt;5.00%，即投资收益超过〖5.00%〗，则投资管理人对超过〖5.00%〗部分收益收取浮动管理费，浮动管理费为：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（100,000.00×1.0615-100,000.00×1.0000-100,000.00×1.0000×5.00%×362/365）×50%=595.55（元）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100,000.00×（1.0615-1.00）-595.55 =5,554.45（元），理财计划赎回时，投资者获得的实际收益相当于达到年化收益率水平为：5,554.45/100,000.00×365/362=5.60%。</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后，投资收益率未达到浮动管理费计提基数。</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w:t>
      </w:r>
      <w:r>
        <w:rPr>
          <w:rFonts w:hint="eastAsia" w:ascii="宋体" w:hAnsi="宋体" w:eastAsia="宋体" w:cs="宋体"/>
          <w:b w:val="0"/>
          <w:bCs w:val="0"/>
          <w:color w:val="000000"/>
          <w:kern w:val="2"/>
          <w:sz w:val="24"/>
          <w:szCs w:val="24"/>
          <w:lang w:val="en-US" w:eastAsia="zh-CN" w:bidi="ar"/>
        </w:rPr>
        <w:t>浮动管理费计提基数</w:t>
      </w:r>
      <w:r>
        <w:rPr>
          <w:rFonts w:hint="eastAsia" w:ascii="宋体" w:hAnsi="宋体" w:eastAsia="宋体" w:cs="宋体"/>
          <w:color w:val="000000"/>
          <w:kern w:val="2"/>
          <w:sz w:val="24"/>
          <w:szCs w:val="24"/>
          <w:lang w:val="en-US" w:eastAsia="zh-CN" w:bidi="ar"/>
        </w:rPr>
        <w:t>为5.00%，期间无分红。赎回时扣除托管费、固定管理费、销售服务费（如有）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后，如理财计划净值为1.0426，此时，(1.0426/1.00-1)×365/362=4.30%&lt;5.00%，即投资收益未达到〖5.00%〗，则投资管理人不收取浮动管理费，投资者最终收益为：100,000.00×(1.0426-1.00）=4,260.00（元）</w:t>
      </w:r>
    </w:p>
    <w:p>
      <w:pPr>
        <w:keepNext w:val="0"/>
        <w:keepLines w:val="0"/>
        <w:widowControl w:val="0"/>
        <w:numPr>
          <w:ilvl w:val="0"/>
          <w:numId w:val="45"/>
        </w:numPr>
        <w:suppressLineNumbers w:val="0"/>
        <w:spacing w:before="0" w:beforeAutospacing="0" w:after="0" w:afterAutospacing="0" w:line="360" w:lineRule="auto"/>
        <w:ind w:left="0" w:right="0" w:firstLine="482" w:firstLineChars="200"/>
        <w:jc w:val="left"/>
        <w:rPr>
          <w:rFonts w:hint="eastAsia" w:ascii="宋体" w:hAnsi="宋体" w:eastAsia="宋体" w:cs="宋体"/>
          <w:b/>
          <w:bCs/>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lang w:val="en-US" w:eastAsia="zh-CN" w:bidi="ar"/>
        </w:rPr>
      </w:pPr>
      <w:r>
        <w:rPr>
          <w:rFonts w:hint="eastAsia" w:ascii="宋体" w:hAnsi="宋体" w:eastAsia="宋体" w:cs="宋体"/>
          <w:b/>
          <w:bCs/>
          <w:color w:val="000000"/>
          <w:kern w:val="2"/>
          <w:sz w:val="24"/>
          <w:szCs w:val="24"/>
          <w:lang w:val="en-US" w:eastAsia="zh-CN" w:bidi="ar"/>
        </w:rPr>
        <w:t>扣除托管费、固定管理费、销售服务费（如有）</w:t>
      </w:r>
      <w:r>
        <w:rPr>
          <w:rFonts w:hint="eastAsia" w:ascii="宋体" w:hAnsi="宋体" w:cs="宋体"/>
          <w:b/>
          <w:bCs/>
          <w:color w:val="000000"/>
          <w:kern w:val="2"/>
          <w:sz w:val="24"/>
          <w:szCs w:val="24"/>
          <w:lang w:val="en-US" w:eastAsia="zh-CN" w:bidi="ar"/>
        </w:rPr>
        <w:t>等</w:t>
      </w:r>
      <w:r>
        <w:rPr>
          <w:rFonts w:hint="eastAsia" w:ascii="宋体" w:hAnsi="宋体" w:eastAsia="宋体" w:cs="宋体"/>
          <w:b/>
          <w:bCs/>
          <w:color w:val="000000"/>
          <w:kern w:val="2"/>
          <w:sz w:val="24"/>
          <w:szCs w:val="24"/>
          <w:lang w:val="en-US" w:eastAsia="zh-CN" w:bidi="ar"/>
        </w:rPr>
        <w:t>后，投资发生亏损。</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
          <w:bCs/>
          <w:color w:val="000000"/>
          <w:kern w:val="2"/>
          <w:sz w:val="24"/>
          <w:szCs w:val="24"/>
          <w:lang w:val="en-US" w:eastAsia="zh-CN" w:bidi="ar"/>
        </w:rPr>
      </w:pPr>
      <w:r>
        <w:rPr>
          <w:rFonts w:hint="eastAsia" w:ascii="宋体" w:hAnsi="宋体" w:eastAsia="宋体" w:cs="宋体"/>
          <w:color w:val="000000"/>
          <w:kern w:val="2"/>
          <w:sz w:val="24"/>
          <w:szCs w:val="24"/>
          <w:lang w:val="en-US" w:eastAsia="zh-CN" w:bidi="ar"/>
        </w:rPr>
        <w:t>以某投资者投资10万元〖A份额〗为例，假设购买时理财计划净值为1.00元，折算份额为100,000.00份，假设投资理财计划362天后，赎回份额100,000.00份。假设管理人提取超过5.00%的50%作为浮动管理费，</w:t>
      </w:r>
      <w:r>
        <w:rPr>
          <w:rFonts w:hint="eastAsia" w:ascii="宋体" w:hAnsi="宋体" w:eastAsia="宋体" w:cs="宋体"/>
          <w:b w:val="0"/>
          <w:bCs w:val="0"/>
          <w:color w:val="000000"/>
          <w:kern w:val="2"/>
          <w:sz w:val="24"/>
          <w:szCs w:val="24"/>
          <w:lang w:val="en-US" w:eastAsia="zh-CN" w:bidi="ar"/>
        </w:rPr>
        <w:t>浮动管理费计提基准</w:t>
      </w:r>
      <w:r>
        <w:rPr>
          <w:rFonts w:hint="eastAsia" w:ascii="宋体" w:hAnsi="宋体" w:eastAsia="宋体" w:cs="宋体"/>
          <w:color w:val="000000"/>
          <w:kern w:val="2"/>
          <w:sz w:val="24"/>
          <w:szCs w:val="24"/>
          <w:lang w:val="en-US" w:eastAsia="zh-CN" w:bidi="ar"/>
        </w:rPr>
        <w:t>为5.00%，期间无分红。赎回时扣除托管费、固定管理费、销售服务费（如有）</w:t>
      </w:r>
      <w:r>
        <w:rPr>
          <w:rFonts w:hint="eastAsia" w:ascii="宋体" w:hAnsi="宋体" w:cs="宋体"/>
          <w:color w:val="000000"/>
          <w:kern w:val="2"/>
          <w:sz w:val="24"/>
          <w:szCs w:val="24"/>
          <w:lang w:val="en-US" w:eastAsia="zh-CN" w:bidi="ar"/>
        </w:rPr>
        <w:t>等</w:t>
      </w:r>
      <w:r>
        <w:rPr>
          <w:rFonts w:hint="eastAsia" w:ascii="宋体" w:hAnsi="宋体" w:eastAsia="宋体" w:cs="宋体"/>
          <w:color w:val="000000"/>
          <w:kern w:val="2"/>
          <w:sz w:val="24"/>
          <w:szCs w:val="24"/>
          <w:lang w:val="en-US" w:eastAsia="zh-CN" w:bidi="ar"/>
        </w:rPr>
        <w:t>后，如理财计划净值为0.9975，则投资管理人不收取浮动管理费，投资者最终收益为：100,000.00×（0.9975-1.00）=-250.00（元）。</w:t>
      </w:r>
    </w:p>
    <w:p>
      <w:pPr>
        <w:numPr>
          <w:ilvl w:val="0"/>
          <w:numId w:val="44"/>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交易规则</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本理财计划在每个开放期的开放日工作时间可进行申购</w:t>
      </w:r>
      <w:r>
        <w:rPr>
          <w:rFonts w:hint="eastAsia" w:ascii="宋体" w:hAnsi="宋体" w:cs="宋体"/>
          <w:bCs/>
          <w:color w:val="000000"/>
          <w:sz w:val="24"/>
          <w:highlight w:val="none"/>
          <w:lang w:val="en-US" w:eastAsia="zh-CN"/>
        </w:rPr>
        <w:t>和赎回</w:t>
      </w:r>
      <w:r>
        <w:rPr>
          <w:rFonts w:hint="eastAsia" w:ascii="宋体" w:hAnsi="宋体" w:cs="宋体"/>
          <w:bCs/>
          <w:color w:val="000000"/>
          <w:sz w:val="24"/>
          <w:highlight w:val="none"/>
        </w:rPr>
        <w:t>，申购</w:t>
      </w:r>
      <w:r>
        <w:rPr>
          <w:rFonts w:hint="eastAsia" w:ascii="宋体" w:hAnsi="宋体" w:cs="宋体"/>
          <w:bCs/>
          <w:color w:val="000000"/>
          <w:sz w:val="24"/>
          <w:highlight w:val="none"/>
          <w:lang w:val="en-US" w:eastAsia="zh-CN"/>
        </w:rPr>
        <w:t>和赎回</w:t>
      </w:r>
      <w:r>
        <w:rPr>
          <w:rFonts w:hint="eastAsia" w:ascii="宋体" w:hAnsi="宋体" w:cs="宋体"/>
          <w:bCs/>
          <w:color w:val="000000"/>
          <w:sz w:val="24"/>
          <w:highlight w:val="none"/>
        </w:rPr>
        <w:t>申请将在确认日进行确认，即开放期后的第〖1〗个〖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工作时间为每个〖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lang w:eastAsia="zh-CN"/>
        </w:rPr>
        <w:t>如新增申</w:t>
      </w:r>
      <w:r>
        <w:rPr>
          <w:rFonts w:hint="eastAsia" w:ascii="宋体" w:hAnsi="宋体" w:cs="宋体"/>
          <w:bCs/>
          <w:color w:val="000000"/>
          <w:sz w:val="24"/>
          <w:highlight w:val="none"/>
          <w:lang w:val="en-US" w:eastAsia="zh-CN"/>
        </w:rPr>
        <w:t>购使得单一投资者持有份额比例超过理财计划总份额的50％，管理人将不再接受超出部分的申购申请。非因投资管理人主观因素导致突破前款规定比例限制的，在单一投资者持有比例降至50％以下之前，管理人将不再接受该投资者对该理财计划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赎回资金确认后，最快</w:t>
      </w:r>
      <w:r>
        <w:rPr>
          <w:rFonts w:hint="eastAsia" w:ascii="宋体" w:hAnsi="宋体" w:eastAsia="宋体" w:cs="宋体"/>
          <w:bCs/>
          <w:color w:val="000000"/>
          <w:kern w:val="2"/>
          <w:sz w:val="24"/>
          <w:szCs w:val="24"/>
          <w:highlight w:val="none"/>
          <w:lang w:val="en-US" w:eastAsia="zh-CN" w:bidi="ar-SA"/>
        </w:rPr>
        <w:t>〖确认日当日〗</w:t>
      </w:r>
      <w:r>
        <w:rPr>
          <w:rFonts w:hint="eastAsia" w:ascii="宋体" w:hAnsi="宋体" w:cs="宋体"/>
          <w:bCs/>
          <w:color w:val="000000"/>
          <w:sz w:val="24"/>
          <w:highlight w:val="none"/>
        </w:rPr>
        <w:t>，最晚</w:t>
      </w:r>
      <w:r>
        <w:rPr>
          <w:rFonts w:hint="eastAsia" w:ascii="宋体" w:hAnsi="宋体" w:eastAsia="宋体" w:cs="宋体"/>
          <w:bCs/>
          <w:color w:val="000000"/>
          <w:kern w:val="2"/>
          <w:sz w:val="24"/>
          <w:szCs w:val="24"/>
          <w:highlight w:val="none"/>
          <w:lang w:val="en-US" w:eastAsia="zh-CN" w:bidi="ar-SA"/>
        </w:rPr>
        <w:t>确认日后〖2〗个〖工作日〗内</w:t>
      </w:r>
      <w:r>
        <w:rPr>
          <w:rFonts w:hint="eastAsia" w:ascii="宋体" w:hAnsi="宋体" w:cs="宋体"/>
          <w:bCs/>
          <w:color w:val="000000"/>
          <w:sz w:val="24"/>
          <w:highlight w:val="none"/>
        </w:rPr>
        <w:t>（遇节假日顺延）支付。如遇资金在途或法定工作日调整，实际资金到账日以公告为准。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color w:val="000000"/>
          <w:sz w:val="24"/>
          <w:highlight w:val="none"/>
        </w:rPr>
        <w:t>当出现巨额赎回时，管理人可以根据资产组合状况决定采取全额赎回或拒绝超出部分的赎回申请。</w:t>
      </w:r>
      <w:r>
        <w:rPr>
          <w:rFonts w:hint="eastAsia" w:ascii="宋体" w:hAnsi="宋体" w:cs="宋体"/>
          <w:bCs/>
          <w:color w:val="000000"/>
          <w:sz w:val="24"/>
          <w:highlight w:val="none"/>
          <w:lang w:val="en-US" w:eastAsia="zh-CN"/>
        </w:rPr>
        <w:t>如连续2日（含）以上开放日发生巨额赎回，对于已经接受的赎回申请，管理人可以延缓支付赎回款项，但延缓期限不得超过20个工作日。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在</w:t>
      </w:r>
      <w:r>
        <w:rPr>
          <w:rFonts w:hint="eastAsia" w:ascii="宋体" w:hAnsi="宋体" w:cs="宋体"/>
          <w:bCs/>
          <w:color w:val="000000"/>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资产规模过大，继续接受申购可能对理财计划业绩产生负面影响，从而损害现有份额持有人利益的情形时</w:t>
      </w:r>
      <w:r>
        <w:rPr>
          <w:rFonts w:hint="eastAsia" w:ascii="宋体" w:hAnsi="宋体" w:cs="宋体"/>
          <w:bCs/>
          <w:color w:val="000000"/>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法律</w:t>
      </w:r>
      <w:r>
        <w:rPr>
          <w:rFonts w:hint="eastAsia" w:ascii="宋体" w:hAnsi="宋体" w:cs="宋体"/>
          <w:bCs/>
          <w:color w:val="000000"/>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当继续</w:t>
      </w:r>
      <w:r>
        <w:rPr>
          <w:rFonts w:hint="default" w:ascii="宋体" w:hAnsi="宋体" w:cs="宋体"/>
          <w:bCs/>
          <w:color w:val="000000"/>
          <w:sz w:val="24"/>
          <w:highlight w:val="none"/>
          <w:lang w:val="en-US" w:eastAsia="zh-CN"/>
        </w:rPr>
        <w:t>接受赎回申请将损害存量投资者利益的情形</w:t>
      </w:r>
      <w:r>
        <w:rPr>
          <w:rFonts w:hint="eastAsia" w:ascii="宋体" w:hAnsi="宋体" w:cs="宋体"/>
          <w:bCs/>
          <w:color w:val="000000"/>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w:t>
      </w:r>
      <w:r>
        <w:rPr>
          <w:rFonts w:hint="default" w:ascii="宋体" w:hAnsi="宋体" w:cs="宋体"/>
          <w:bCs/>
          <w:color w:val="000000"/>
          <w:sz w:val="24"/>
          <w:highlight w:val="none"/>
          <w:lang w:val="en-US" w:eastAsia="zh-CN"/>
        </w:rPr>
        <w:t>前一估值日</w:t>
      </w:r>
      <w:r>
        <w:rPr>
          <w:rFonts w:hint="eastAsia" w:ascii="宋体" w:hAnsi="宋体" w:cs="宋体"/>
          <w:bCs/>
          <w:color w:val="000000"/>
          <w:sz w:val="24"/>
          <w:highlight w:val="none"/>
          <w:lang w:val="en-US" w:eastAsia="zh-CN"/>
        </w:rPr>
        <w:t>理财计划</w:t>
      </w:r>
      <w:r>
        <w:rPr>
          <w:rFonts w:hint="default" w:ascii="宋体" w:hAnsi="宋体" w:cs="宋体"/>
          <w:bCs/>
          <w:color w:val="000000"/>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color w:val="000000"/>
          <w:sz w:val="24"/>
          <w:highlight w:val="none"/>
          <w:lang w:val="en-US" w:eastAsia="zh-CN"/>
        </w:rPr>
        <w:t>的情形</w:t>
      </w:r>
      <w:r>
        <w:rPr>
          <w:rFonts w:hint="default" w:ascii="宋体" w:hAnsi="宋体" w:cs="宋体"/>
          <w:bCs/>
          <w:color w:val="000000"/>
          <w:sz w:val="24"/>
          <w:highlight w:val="none"/>
          <w:lang w:val="en-US" w:eastAsia="zh-CN"/>
        </w:rPr>
        <w:t>时</w:t>
      </w:r>
      <w:r>
        <w:rPr>
          <w:rFonts w:hint="eastAsia" w:ascii="宋体" w:hAnsi="宋体" w:cs="宋体"/>
          <w:bCs/>
          <w:color w:val="000000"/>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发生</w:t>
      </w:r>
      <w:r>
        <w:rPr>
          <w:rFonts w:hint="eastAsia" w:ascii="宋体" w:hAnsi="宋体" w:cs="宋体"/>
          <w:bCs/>
          <w:color w:val="000000"/>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法律</w:t>
      </w:r>
      <w:r>
        <w:rPr>
          <w:rFonts w:hint="eastAsia" w:ascii="宋体" w:hAnsi="宋体" w:cs="宋体"/>
          <w:bCs/>
          <w:color w:val="000000"/>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color w:val="000000"/>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eastAsia="zh-CN"/>
        </w:rPr>
        <w:t>因</w:t>
      </w:r>
      <w:r>
        <w:rPr>
          <w:rFonts w:hint="eastAsia" w:ascii="宋体" w:hAnsi="宋体" w:cs="宋体"/>
          <w:bCs/>
          <w:color w:val="000000"/>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连续</w:t>
      </w:r>
      <w:r>
        <w:rPr>
          <w:rFonts w:hint="default" w:ascii="宋体" w:hAnsi="宋体" w:cs="宋体"/>
          <w:bCs/>
          <w:color w:val="000000"/>
          <w:sz w:val="24"/>
          <w:highlight w:val="none"/>
          <w:lang w:val="en-US" w:eastAsia="zh-CN"/>
        </w:rPr>
        <w:t>2</w:t>
      </w:r>
      <w:r>
        <w:rPr>
          <w:rFonts w:hint="eastAsia" w:ascii="宋体" w:hAnsi="宋体" w:cs="宋体"/>
          <w:bCs/>
          <w:color w:val="000000"/>
          <w:sz w:val="24"/>
          <w:highlight w:val="none"/>
          <w:lang w:val="en-US" w:eastAsia="zh-CN"/>
        </w:rPr>
        <w:t>日</w:t>
      </w:r>
      <w:r>
        <w:rPr>
          <w:rFonts w:hint="default" w:ascii="宋体" w:hAnsi="宋体" w:cs="宋体"/>
          <w:bCs/>
          <w:color w:val="000000"/>
          <w:sz w:val="24"/>
          <w:highlight w:val="none"/>
          <w:lang w:val="en-US" w:eastAsia="zh-CN"/>
        </w:rPr>
        <w:t>（含）以上开放日发生巨额赎回的</w:t>
      </w:r>
      <w:r>
        <w:rPr>
          <w:rFonts w:hint="eastAsia" w:ascii="宋体" w:hAnsi="宋体" w:cs="宋体"/>
          <w:bCs/>
          <w:color w:val="000000"/>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当前</w:t>
      </w:r>
      <w:r>
        <w:rPr>
          <w:rFonts w:hint="default" w:ascii="宋体" w:hAnsi="宋体" w:cs="宋体"/>
          <w:bCs/>
          <w:color w:val="000000"/>
          <w:sz w:val="24"/>
          <w:highlight w:val="none"/>
          <w:lang w:val="en-US" w:eastAsia="zh-CN"/>
        </w:rPr>
        <w:t>一估值日</w:t>
      </w:r>
      <w:r>
        <w:rPr>
          <w:rFonts w:hint="eastAsia" w:ascii="宋体" w:hAnsi="宋体" w:cs="宋体"/>
          <w:bCs/>
          <w:color w:val="000000"/>
          <w:sz w:val="24"/>
          <w:highlight w:val="none"/>
          <w:lang w:val="en-US" w:eastAsia="zh-CN"/>
        </w:rPr>
        <w:t>理财计划</w:t>
      </w:r>
      <w:r>
        <w:rPr>
          <w:rFonts w:hint="default" w:ascii="宋体" w:hAnsi="宋体" w:cs="宋体"/>
          <w:bCs/>
          <w:color w:val="000000"/>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color w:val="000000"/>
          <w:sz w:val="24"/>
          <w:highlight w:val="none"/>
          <w:lang w:val="en-US" w:eastAsia="zh-CN"/>
        </w:rPr>
        <w:t>的情形</w:t>
      </w:r>
      <w:r>
        <w:rPr>
          <w:rFonts w:hint="default" w:ascii="宋体" w:hAnsi="宋体" w:cs="宋体"/>
          <w:bCs/>
          <w:color w:val="000000"/>
          <w:sz w:val="24"/>
          <w:highlight w:val="none"/>
          <w:lang w:val="en-US" w:eastAsia="zh-CN"/>
        </w:rPr>
        <w:t>时</w:t>
      </w:r>
      <w:r>
        <w:rPr>
          <w:rFonts w:hint="eastAsia" w:ascii="宋体" w:hAnsi="宋体" w:cs="宋体"/>
          <w:bCs/>
          <w:color w:val="000000"/>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color w:val="000000"/>
          <w:sz w:val="24"/>
          <w:highlight w:val="none"/>
          <w:lang w:val="en-US" w:eastAsia="zh-CN"/>
        </w:rPr>
        <w:t>法律法规规定或监管机构认定的其他情形。</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到期清算</w:t>
      </w:r>
    </w:p>
    <w:p>
      <w:pPr>
        <w:spacing w:line="360" w:lineRule="auto"/>
        <w:ind w:firstLine="480" w:firstLineChars="200"/>
        <w:jc w:val="left"/>
        <w:rPr>
          <w:rFonts w:hint="eastAsia" w:ascii="宋体" w:hAnsi="宋体" w:cs="宋体"/>
          <w:color w:val="000000"/>
          <w:kern w:val="0"/>
          <w:sz w:val="24"/>
          <w:szCs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bCs/>
          <w:color w:val="000000"/>
          <w:kern w:val="2"/>
          <w:sz w:val="24"/>
          <w:szCs w:val="24"/>
          <w:highlight w:val="none"/>
          <w:lang w:val="en-US" w:eastAsia="zh-CN" w:bidi="ar-SA"/>
        </w:rPr>
        <w:t>1</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〗、最晚〖</w:t>
      </w:r>
      <w:r>
        <w:rPr>
          <w:rFonts w:hint="eastAsia" w:ascii="宋体" w:hAnsi="宋体" w:eastAsia="宋体" w:cs="宋体"/>
          <w:bCs/>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spacing w:line="360" w:lineRule="auto"/>
        <w:ind w:firstLine="480" w:firstLineChars="200"/>
        <w:jc w:val="left"/>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1</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管理人认为应该提前终止的其他情形。</w:t>
      </w:r>
    </w:p>
    <w:p>
      <w:pPr>
        <w:numPr>
          <w:ilvl w:val="0"/>
          <w:numId w:val="46"/>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信息披露</w:t>
      </w:r>
    </w:p>
    <w:p>
      <w:pPr>
        <w:numPr>
          <w:ilvl w:val="0"/>
          <w:numId w:val="5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r>
        <w:rPr>
          <w:rFonts w:hint="eastAsia" w:ascii="宋体" w:hAnsi="宋体" w:cs="宋体"/>
          <w:bCs/>
          <w:color w:val="000000"/>
          <w:sz w:val="24"/>
          <w:highlight w:val="none"/>
          <w:lang w:eastAsia="zh-CN"/>
        </w:rPr>
        <w:t>公募开放式产品至少每周披露净值。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内、每年8月31日前、每年4月30日前编制完成理财计划的季度、半年和年度报告等运行报告，披露投资状况、投资表现、风险状况等信息，包括但不限于本理财计划投资的资产种类、投资比例、投资组合的流动性风险分析。如本理财计划成立不足90个工作日的，管理人可不编制当期的季度、半年和年度报告等运行报告。理财计划超过90个自然日的应当在存续期内至少披露一次定期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color w:val="000000"/>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应在发生重大诉讼等可能对理财计划投资者或者理财计划收益产生重大事项的事件后2个工作日内发布重大事项公告。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临时公告：管理人应当及时披露除重大事项以外的其他信息，包括但不限于理财计划终止、更换理财计划管理人和托管人、涉及费率相关事项的变动、理财计划延期兑付等。</w:t>
      </w:r>
    </w:p>
    <w:p>
      <w:pPr>
        <w:numPr>
          <w:ilvl w:val="0"/>
          <w:numId w:val="57"/>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sz w:val="24"/>
          <w:highlight w:val="none"/>
        </w:rPr>
      </w:pPr>
    </w:p>
    <w:p>
      <w:pPr>
        <w:numPr>
          <w:ilvl w:val="0"/>
          <w:numId w:val="30"/>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其他</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62"/>
        </w:numPr>
        <w:spacing w:line="360" w:lineRule="auto"/>
        <w:ind w:firstLine="482" w:firstLineChars="200"/>
        <w:jc w:val="left"/>
        <w:outlineLvl w:val="9"/>
        <w:rPr>
          <w:rFonts w:hint="eastAsia" w:ascii="宋体" w:hAnsi="宋体" w:cs="宋体"/>
          <w:b/>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
          <w:bCs/>
          <w:color w:val="000000"/>
          <w:sz w:val="44"/>
          <w:szCs w:val="4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理财计划办理流程</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64"/>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65"/>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专业投资者及激进型的普通投资者</w:t>
            </w:r>
          </w:p>
        </w:tc>
      </w:tr>
    </w:tbl>
    <w:p>
      <w:pPr>
        <w:pStyle w:val="20"/>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66"/>
        </w:numPr>
        <w:spacing w:line="360" w:lineRule="auto"/>
        <w:outlineLvl w:val="9"/>
        <w:rPr>
          <w:rFonts w:hint="eastAsia" w:ascii="宋体" w:hAnsi="宋体" w:cs="宋体"/>
          <w:b/>
          <w:kern w:val="0"/>
          <w:sz w:val="24"/>
          <w:highlight w:val="none"/>
        </w:rPr>
      </w:pPr>
      <w:r>
        <w:rPr>
          <w:rFonts w:hint="eastAsia" w:ascii="宋体" w:hAnsi="宋体" w:cs="宋体"/>
          <w:b/>
          <w:color w:val="000000"/>
          <w:kern w:val="0"/>
          <w:sz w:val="24"/>
          <w:highlight w:val="none"/>
        </w:rPr>
        <w:t>投资者风险承受能力评估</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68"/>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投资者对评估结果进行确认。</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kern w:val="0"/>
          <w:sz w:val="24"/>
          <w:highlight w:val="none"/>
        </w:rPr>
      </w:pPr>
      <w:r>
        <w:rPr>
          <w:rFonts w:hint="eastAsia" w:ascii="宋体" w:hAnsi="宋体" w:cs="宋体"/>
          <w:b/>
          <w:color w:val="000000"/>
          <w:kern w:val="0"/>
          <w:sz w:val="24"/>
          <w:highlight w:val="none"/>
        </w:rPr>
        <w:t>六、投诉与建议</w:t>
      </w:r>
    </w:p>
    <w:p>
      <w:pPr>
        <w:numPr>
          <w:ilvl w:val="0"/>
          <w:numId w:val="70"/>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70"/>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杭银理财联络方式：</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4"/>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71"/>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4"/>
          <w:rFonts w:hint="eastAsia" w:ascii="宋体" w:hAnsi="宋体" w:cs="宋体"/>
          <w:color w:val="000000"/>
          <w:kern w:val="0"/>
          <w:sz w:val="24"/>
          <w:highlight w:val="none"/>
          <w:u w:val="none"/>
          <w:lang w:val="en-US" w:eastAsia="zh-CN"/>
        </w:rPr>
        <w:t>www.hzbank.com.cn</w:t>
      </w:r>
      <w:r>
        <w:rPr>
          <w:rStyle w:val="14"/>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r>
        <w:rPr>
          <w:rFonts w:ascii="宋体" w:hAnsi="宋体" w:cs="宋体"/>
          <w:bCs/>
          <w:color w:val="000000"/>
          <w:sz w:val="24"/>
          <w:highlight w:val="none"/>
        </w:rPr>
        <w:br w:type="page"/>
      </w:r>
    </w:p>
    <w:p>
      <w:pPr>
        <w:jc w:val="center"/>
        <w:outlineLvl w:val="9"/>
        <w:rPr>
          <w:rFonts w:hint="eastAsia"/>
          <w:b/>
          <w:sz w:val="44"/>
          <w:szCs w:val="44"/>
          <w:highlight w:val="none"/>
        </w:rPr>
      </w:pPr>
      <w:r>
        <w:rPr>
          <w:rFonts w:hint="eastAsia"/>
          <w:b/>
          <w:color w:val="000000"/>
          <w:sz w:val="44"/>
          <w:szCs w:val="44"/>
          <w:highlight w:val="none"/>
        </w:rPr>
        <w:t>杭银理财理财计划投资协议书</w:t>
      </w:r>
    </w:p>
    <w:p>
      <w:pPr>
        <w:jc w:val="center"/>
        <w:rPr>
          <w:rFonts w:hint="eastAsia"/>
          <w:b/>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202602</w:t>
      </w:r>
      <w:r>
        <w:rPr>
          <w:rFonts w:hint="eastAsia" w:ascii="宋体" w:hAnsi="宋体" w:cs="宋体"/>
          <w:color w:val="000000"/>
          <w:sz w:val="28"/>
          <w:szCs w:val="28"/>
          <w:highlight w:val="none"/>
        </w:rPr>
        <w:t>版）</w:t>
      </w:r>
    </w:p>
    <w:p>
      <w:pPr>
        <w:spacing w:line="360" w:lineRule="auto"/>
        <w:jc w:val="center"/>
        <w:rPr>
          <w:rFonts w:hint="eastAsia"/>
          <w:b/>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9"/>
        <w:rPr>
          <w:rFonts w:hint="eastAsia" w:ascii="宋体" w:hAnsi="宋体"/>
          <w:b/>
          <w:bCs/>
          <w:sz w:val="24"/>
          <w:highlight w:val="none"/>
        </w:rPr>
      </w:pPr>
      <w:r>
        <w:rPr>
          <w:rFonts w:hint="eastAsia"/>
          <w:b/>
          <w:bCs/>
          <w:color w:val="000000"/>
          <w:sz w:val="24"/>
          <w:highlight w:val="none"/>
        </w:rPr>
        <w:t>名词释义</w:t>
      </w:r>
    </w:p>
    <w:p>
      <w:pPr>
        <w:spacing w:line="360" w:lineRule="auto"/>
        <w:ind w:firstLine="480" w:firstLineChars="200"/>
        <w:rPr>
          <w:rFonts w:hint="eastAsia"/>
          <w:bCs/>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投资者权利与义务</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管理人权利与义务</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contextualSpacing/>
        <w:outlineLvl w:val="9"/>
        <w:rPr>
          <w:rFonts w:ascii="宋体" w:hAnsi="宋体"/>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74"/>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理财计划认（申）购、赎回及终止</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contextualSpacing/>
        <w:outlineLvl w:val="9"/>
        <w:rPr>
          <w:rFonts w:ascii="宋体" w:hAnsi="宋体"/>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违约责任及免责条款</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76"/>
        </w:numPr>
        <w:spacing w:line="360" w:lineRule="auto"/>
        <w:contextualSpacing/>
        <w:outlineLvl w:val="9"/>
        <w:rPr>
          <w:rFonts w:ascii="宋体" w:hAnsi="宋体"/>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9"/>
        <w:rPr>
          <w:b/>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9"/>
        <w:rPr>
          <w:rFonts w:hint="eastAsia"/>
          <w:b/>
          <w:sz w:val="24"/>
          <w:highlight w:val="none"/>
        </w:rPr>
      </w:pPr>
      <w:r>
        <w:rPr>
          <w:rFonts w:hint="eastAsia"/>
          <w:b/>
          <w:color w:val="000000"/>
          <w:sz w:val="24"/>
          <w:highlight w:val="none"/>
        </w:rPr>
        <w:t>协议生效和终止</w:t>
      </w:r>
    </w:p>
    <w:p>
      <w:pPr>
        <w:widowControl/>
        <w:numPr>
          <w:ilvl w:val="0"/>
          <w:numId w:val="77"/>
        </w:numPr>
        <w:spacing w:line="360" w:lineRule="auto"/>
        <w:contextualSpacing/>
        <w:outlineLvl w:val="9"/>
        <w:rPr>
          <w:rFonts w:ascii="宋体" w:hAnsi="宋体"/>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contextualSpacing/>
        <w:outlineLvl w:val="9"/>
        <w:rPr>
          <w:rFonts w:hint="eastAsia" w:ascii="宋体" w:hAnsi="宋体"/>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9"/>
        <w:rPr>
          <w:b/>
          <w:sz w:val="24"/>
          <w:highlight w:val="none"/>
        </w:rPr>
      </w:pPr>
      <w:r>
        <w:rPr>
          <w:rFonts w:hint="eastAsia"/>
          <w:b/>
          <w:color w:val="000000"/>
          <w:sz w:val="24"/>
          <w:highlight w:val="none"/>
        </w:rPr>
        <w:t>附则</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contextualSpacing/>
        <w:outlineLvl w:val="9"/>
        <w:rPr>
          <w:rFonts w:ascii="宋体" w:hAnsi="宋体"/>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9"/>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sz w:val="24"/>
          <w:highlight w:val="none"/>
        </w:rPr>
      </w:pPr>
    </w:p>
    <w:p>
      <w:pPr>
        <w:spacing w:line="360" w:lineRule="auto"/>
        <w:rPr>
          <w:rFonts w:hint="eastAsia" w:ascii="宋体" w:hAnsi="宋体"/>
          <w:b/>
          <w:bCs/>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sz w:val="24"/>
          <w:highlight w:val="none"/>
        </w:rPr>
      </w:pPr>
    </w:p>
    <w:p>
      <w:pPr>
        <w:spacing w:line="360" w:lineRule="auto"/>
        <w:rPr>
          <w:rFonts w:hint="eastAsia" w:ascii="宋体" w:hAnsi="宋体"/>
          <w:b/>
          <w:bCs/>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202602</w:t>
      </w:r>
      <w:r>
        <w:rPr>
          <w:rFonts w:hint="eastAsia" w:ascii="宋体" w:hAnsi="宋体" w:eastAsia="宋体" w:cs="宋体"/>
          <w:color w:val="000000"/>
          <w:sz w:val="28"/>
          <w:szCs w:val="28"/>
          <w:highlight w:val="none"/>
        </w:rPr>
        <w:t>版）</w:t>
      </w:r>
    </w:p>
    <w:p>
      <w:pPr>
        <w:spacing w:line="360" w:lineRule="auto"/>
        <w:jc w:val="center"/>
        <w:rPr>
          <w:rFonts w:hint="default"/>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（202602</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79"/>
        </w:numPr>
        <w:spacing w:line="360" w:lineRule="auto"/>
        <w:ind w:left="0" w:leftChars="0" w:firstLine="420" w:firstLineChars="0"/>
        <w:contextualSpacing/>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79"/>
        </w:numPr>
        <w:spacing w:line="360" w:lineRule="auto"/>
        <w:ind w:left="0" w:leftChars="0" w:firstLine="420" w:firstLineChars="0"/>
        <w:contextualSpacing/>
        <w:outlineLvl w:val="9"/>
        <w:rPr>
          <w:rFonts w:hint="eastAsia" w:ascii="宋体" w:hAnsi="宋体" w:eastAsia="宋体" w:cs="黑体"/>
          <w:b/>
          <w:bCs/>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宋体" w:eastAsia="宋体" w:cs="黑体"/>
          <w:b w:val="0"/>
          <w:bCs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color w:val="000000"/>
      </w:rPr>
    </w:lvl>
  </w:abstractNum>
  <w:abstractNum w:abstractNumId="1">
    <w:nsid w:val="85460E80"/>
    <w:multiLevelType w:val="singleLevel"/>
    <w:tmpl w:val="85460E80"/>
    <w:lvl w:ilvl="0" w:tentative="0">
      <w:start w:val="1"/>
      <w:numFmt w:val="decimal"/>
      <w:suff w:val="nothing"/>
      <w:lvlText w:val="（%1）"/>
      <w:lvlJc w:val="left"/>
      <w:rPr>
        <w:rFonts w:hint="default"/>
        <w:b w:val="0"/>
        <w:bCs w:val="0"/>
        <w:color w:val="00000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color w:val="000000"/>
      </w:rPr>
    </w:lvl>
  </w:abstractNum>
  <w:abstractNum w:abstractNumId="3">
    <w:nsid w:val="8906C252"/>
    <w:multiLevelType w:val="singleLevel"/>
    <w:tmpl w:val="8906C252"/>
    <w:lvl w:ilvl="0" w:tentative="0">
      <w:start w:val="1"/>
      <w:numFmt w:val="decimal"/>
      <w:suff w:val="nothing"/>
      <w:lvlText w:val="（%1）"/>
      <w:lvlJc w:val="left"/>
      <w:rPr>
        <w:rFonts w:hint="default"/>
        <w:b w:val="0"/>
        <w:bCs w:val="0"/>
        <w:color w:val="00000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D0ECC14"/>
    <w:multiLevelType w:val="singleLevel"/>
    <w:tmpl w:val="8D0ECC14"/>
    <w:lvl w:ilvl="0" w:tentative="0">
      <w:start w:val="2"/>
      <w:numFmt w:val="chineseCounting"/>
      <w:suff w:val="nothing"/>
      <w:lvlText w:val="（%1）"/>
      <w:lvlJc w:val="left"/>
      <w:pPr>
        <w:ind w:left="0" w:firstLine="420"/>
      </w:pPr>
      <w:rPr>
        <w:rFonts w:hint="eastAsia"/>
        <w:color w:val="000000"/>
      </w:rPr>
    </w:lvl>
  </w:abstractNum>
  <w:abstractNum w:abstractNumId="6">
    <w:nsid w:val="8D2AB5FD"/>
    <w:multiLevelType w:val="singleLevel"/>
    <w:tmpl w:val="8D2AB5FD"/>
    <w:lvl w:ilvl="0" w:tentative="0">
      <w:start w:val="1"/>
      <w:numFmt w:val="chineseCounting"/>
      <w:suff w:val="nothing"/>
      <w:lvlText w:val="（%1）"/>
      <w:lvlJc w:val="left"/>
      <w:pPr>
        <w:ind w:left="0" w:firstLine="420"/>
      </w:pPr>
      <w:rPr>
        <w:rFonts w:hint="eastAsia"/>
        <w:color w:val="000000"/>
        <w:highlight w:val="none"/>
      </w:rPr>
    </w:lvl>
  </w:abstractNum>
  <w:abstractNum w:abstractNumId="7">
    <w:nsid w:val="8FC09253"/>
    <w:multiLevelType w:val="singleLevel"/>
    <w:tmpl w:val="8FC09253"/>
    <w:lvl w:ilvl="0" w:tentative="0">
      <w:start w:val="3"/>
      <w:numFmt w:val="chineseCounting"/>
      <w:suff w:val="nothing"/>
      <w:lvlText w:val="%1、"/>
      <w:lvlJc w:val="left"/>
      <w:pPr>
        <w:ind w:left="-420" w:firstLine="420"/>
      </w:pPr>
      <w:rPr>
        <w:rFonts w:hint="eastAsia"/>
        <w:color w:val="000000"/>
      </w:rPr>
    </w:lvl>
  </w:abstractNum>
  <w:abstractNum w:abstractNumId="8">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9">
    <w:nsid w:val="9E10E19D"/>
    <w:multiLevelType w:val="singleLevel"/>
    <w:tmpl w:val="9E10E19D"/>
    <w:lvl w:ilvl="0" w:tentative="0">
      <w:start w:val="1"/>
      <w:numFmt w:val="chineseCounting"/>
      <w:suff w:val="nothing"/>
      <w:lvlText w:val="（%1）"/>
      <w:lvlJc w:val="left"/>
      <w:pPr>
        <w:ind w:left="0" w:firstLine="420"/>
      </w:pPr>
      <w:rPr>
        <w:rFonts w:hint="eastAsia"/>
        <w:color w:val="000000"/>
      </w:rPr>
    </w:lvl>
  </w:abstractNum>
  <w:abstractNum w:abstractNumId="10">
    <w:nsid w:val="9E4A8FE0"/>
    <w:multiLevelType w:val="singleLevel"/>
    <w:tmpl w:val="9E4A8FE0"/>
    <w:lvl w:ilvl="0" w:tentative="0">
      <w:start w:val="1"/>
      <w:numFmt w:val="decimal"/>
      <w:suff w:val="nothing"/>
      <w:lvlText w:val="%1．"/>
      <w:lvlJc w:val="left"/>
      <w:pPr>
        <w:ind w:left="0" w:firstLine="400"/>
      </w:pPr>
      <w:rPr>
        <w:rFonts w:hint="default"/>
        <w:b/>
        <w:bCs/>
        <w:color w:val="000000"/>
      </w:rPr>
    </w:lvl>
  </w:abstractNum>
  <w:abstractNum w:abstractNumId="11">
    <w:nsid w:val="9F173FD6"/>
    <w:multiLevelType w:val="singleLevel"/>
    <w:tmpl w:val="9F173FD6"/>
    <w:lvl w:ilvl="0" w:tentative="0">
      <w:start w:val="1"/>
      <w:numFmt w:val="decimal"/>
      <w:suff w:val="nothing"/>
      <w:lvlText w:val="%1．"/>
      <w:lvlJc w:val="left"/>
      <w:pPr>
        <w:ind w:left="0" w:firstLine="400"/>
      </w:pPr>
      <w:rPr>
        <w:rFonts w:hint="default"/>
        <w:color w:val="000000"/>
      </w:rPr>
    </w:lvl>
  </w:abstractNum>
  <w:abstractNum w:abstractNumId="12">
    <w:nsid w:val="AAB48CF5"/>
    <w:multiLevelType w:val="singleLevel"/>
    <w:tmpl w:val="AAB48CF5"/>
    <w:lvl w:ilvl="0" w:tentative="0">
      <w:start w:val="1"/>
      <w:numFmt w:val="decimal"/>
      <w:suff w:val="nothing"/>
      <w:lvlText w:val="%1．"/>
      <w:lvlJc w:val="left"/>
      <w:pPr>
        <w:ind w:left="0" w:firstLine="400"/>
      </w:pPr>
      <w:rPr>
        <w:rFonts w:hint="default"/>
        <w:color w:val="000000"/>
      </w:rPr>
    </w:lvl>
  </w:abstractNum>
  <w:abstractNum w:abstractNumId="13">
    <w:nsid w:val="AC40BB97"/>
    <w:multiLevelType w:val="singleLevel"/>
    <w:tmpl w:val="AC40BB97"/>
    <w:lvl w:ilvl="0" w:tentative="0">
      <w:start w:val="1"/>
      <w:numFmt w:val="chineseCounting"/>
      <w:suff w:val="nothing"/>
      <w:lvlText w:val="%1、"/>
      <w:lvlJc w:val="left"/>
      <w:rPr>
        <w:rFonts w:hint="eastAsia"/>
        <w:color w:val="000000"/>
      </w:rPr>
    </w:lvl>
  </w:abstractNum>
  <w:abstractNum w:abstractNumId="14">
    <w:nsid w:val="AF5FAE6B"/>
    <w:multiLevelType w:val="singleLevel"/>
    <w:tmpl w:val="AF5FAE6B"/>
    <w:lvl w:ilvl="0" w:tentative="0">
      <w:start w:val="1"/>
      <w:numFmt w:val="chineseCounting"/>
      <w:suff w:val="nothing"/>
      <w:lvlText w:val="（%1）"/>
      <w:lvlJc w:val="left"/>
      <w:pPr>
        <w:ind w:left="0" w:firstLine="420"/>
      </w:pPr>
      <w:rPr>
        <w:rFonts w:hint="eastAsia"/>
        <w:color w:val="000000"/>
      </w:rPr>
    </w:lvl>
  </w:abstractNum>
  <w:abstractNum w:abstractNumId="15">
    <w:nsid w:val="B08226EF"/>
    <w:multiLevelType w:val="singleLevel"/>
    <w:tmpl w:val="B08226EF"/>
    <w:lvl w:ilvl="0" w:tentative="0">
      <w:start w:val="1"/>
      <w:numFmt w:val="chineseCounting"/>
      <w:suff w:val="space"/>
      <w:lvlText w:val="第%1条"/>
      <w:lvlJc w:val="left"/>
      <w:rPr>
        <w:rFonts w:hint="eastAsia"/>
        <w:color w:val="000000"/>
      </w:rPr>
    </w:lvl>
  </w:abstractNum>
  <w:abstractNum w:abstractNumId="16">
    <w:nsid w:val="BB4AE6C3"/>
    <w:multiLevelType w:val="singleLevel"/>
    <w:tmpl w:val="BB4AE6C3"/>
    <w:lvl w:ilvl="0" w:tentative="0">
      <w:start w:val="2"/>
      <w:numFmt w:val="decimal"/>
      <w:suff w:val="nothing"/>
      <w:lvlText w:val="%1．"/>
      <w:lvlJc w:val="left"/>
      <w:pPr>
        <w:ind w:left="0" w:firstLine="403"/>
      </w:pPr>
      <w:rPr>
        <w:rFonts w:hint="default"/>
        <w:color w:val="000000"/>
      </w:rPr>
    </w:lvl>
  </w:abstractNum>
  <w:abstractNum w:abstractNumId="17">
    <w:nsid w:val="BBE916E8"/>
    <w:multiLevelType w:val="singleLevel"/>
    <w:tmpl w:val="BBE916E8"/>
    <w:lvl w:ilvl="0" w:tentative="0">
      <w:start w:val="1"/>
      <w:numFmt w:val="decimal"/>
      <w:suff w:val="nothing"/>
      <w:lvlText w:val="%1．"/>
      <w:lvlJc w:val="left"/>
      <w:pPr>
        <w:ind w:left="0" w:firstLine="400"/>
      </w:pPr>
      <w:rPr>
        <w:rFonts w:hint="default"/>
        <w:b w:val="0"/>
        <w:bCs w:val="0"/>
        <w:color w:val="000000"/>
      </w:rPr>
    </w:lvl>
  </w:abstractNum>
  <w:abstractNum w:abstractNumId="18">
    <w:nsid w:val="BFFAB472"/>
    <w:multiLevelType w:val="multilevel"/>
    <w:tmpl w:val="BFFAB472"/>
    <w:lvl w:ilvl="0" w:tentative="0">
      <w:start w:val="1"/>
      <w:numFmt w:val="chineseCounting"/>
      <w:suff w:val="nothing"/>
      <w:lvlText w:val="（%1）"/>
      <w:lvlJc w:val="left"/>
      <w:pPr>
        <w:ind w:left="0" w:firstLine="420"/>
      </w:pPr>
      <w:rPr>
        <w:rFonts w:hint="eastAsia" w:ascii="宋体" w:hAnsi="宋体" w:eastAsia="宋体" w:cs="宋体"/>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9">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20">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color w:val="000000"/>
      </w:rPr>
    </w:lvl>
  </w:abstractNum>
  <w:abstractNum w:abstractNumId="21">
    <w:nsid w:val="D86C2766"/>
    <w:multiLevelType w:val="singleLevel"/>
    <w:tmpl w:val="D86C2766"/>
    <w:lvl w:ilvl="0" w:tentative="0">
      <w:start w:val="5"/>
      <w:numFmt w:val="decimal"/>
      <w:suff w:val="nothing"/>
      <w:lvlText w:val="%1．"/>
      <w:lvlJc w:val="left"/>
      <w:pPr>
        <w:ind w:left="0" w:firstLine="403"/>
      </w:pPr>
      <w:rPr>
        <w:rFonts w:hint="default"/>
        <w:color w:val="000000"/>
      </w:rPr>
    </w:lvl>
  </w:abstractNum>
  <w:abstractNum w:abstractNumId="22">
    <w:nsid w:val="D87B2C43"/>
    <w:multiLevelType w:val="singleLevel"/>
    <w:tmpl w:val="D87B2C43"/>
    <w:lvl w:ilvl="0" w:tentative="0">
      <w:start w:val="1"/>
      <w:numFmt w:val="chineseCounting"/>
      <w:suff w:val="nothing"/>
      <w:lvlText w:val="（%1）"/>
      <w:lvlJc w:val="left"/>
      <w:pPr>
        <w:ind w:left="0" w:firstLine="420"/>
      </w:pPr>
      <w:rPr>
        <w:rFonts w:hint="eastAsia"/>
        <w:color w:val="000000"/>
      </w:rPr>
    </w:lvl>
  </w:abstractNum>
  <w:abstractNum w:abstractNumId="23">
    <w:nsid w:val="D8D75090"/>
    <w:multiLevelType w:val="singleLevel"/>
    <w:tmpl w:val="D8D75090"/>
    <w:lvl w:ilvl="0" w:tentative="0">
      <w:start w:val="1"/>
      <w:numFmt w:val="decimal"/>
      <w:suff w:val="nothing"/>
      <w:lvlText w:val="（%1）"/>
      <w:lvlJc w:val="left"/>
      <w:rPr>
        <w:rFonts w:hint="default"/>
        <w:b w:val="0"/>
        <w:bCs w:val="0"/>
        <w:color w:val="000000"/>
      </w:rPr>
    </w:lvl>
  </w:abstractNum>
  <w:abstractNum w:abstractNumId="24">
    <w:nsid w:val="DD2251DF"/>
    <w:multiLevelType w:val="singleLevel"/>
    <w:tmpl w:val="DD2251DF"/>
    <w:lvl w:ilvl="0" w:tentative="0">
      <w:start w:val="1"/>
      <w:numFmt w:val="decimal"/>
      <w:suff w:val="nothing"/>
      <w:lvlText w:val="（%1）"/>
      <w:lvlJc w:val="left"/>
      <w:rPr>
        <w:rFonts w:hint="default"/>
        <w:b w:val="0"/>
        <w:bCs w:val="0"/>
        <w:color w:val="000000"/>
      </w:rPr>
    </w:lvl>
  </w:abstractNum>
  <w:abstractNum w:abstractNumId="25">
    <w:nsid w:val="E20DF07A"/>
    <w:multiLevelType w:val="singleLevel"/>
    <w:tmpl w:val="E20DF07A"/>
    <w:lvl w:ilvl="0" w:tentative="0">
      <w:start w:val="1"/>
      <w:numFmt w:val="chineseCounting"/>
      <w:suff w:val="nothing"/>
      <w:lvlText w:val="（%1）"/>
      <w:lvlJc w:val="left"/>
      <w:pPr>
        <w:ind w:left="0" w:firstLine="420"/>
      </w:pPr>
      <w:rPr>
        <w:rFonts w:hint="eastAsia"/>
        <w:b/>
        <w:bCs/>
        <w:color w:val="000000"/>
      </w:rPr>
    </w:lvl>
  </w:abstractNum>
  <w:abstractNum w:abstractNumId="26">
    <w:nsid w:val="E70DF796"/>
    <w:multiLevelType w:val="singleLevel"/>
    <w:tmpl w:val="E70DF796"/>
    <w:lvl w:ilvl="0" w:tentative="0">
      <w:start w:val="1"/>
      <w:numFmt w:val="decimal"/>
      <w:suff w:val="nothing"/>
      <w:lvlText w:val="（%1）"/>
      <w:lvlJc w:val="left"/>
      <w:rPr>
        <w:color w:val="000000"/>
      </w:rPr>
    </w:lvl>
  </w:abstractNum>
  <w:abstractNum w:abstractNumId="27">
    <w:nsid w:val="EED9DB58"/>
    <w:multiLevelType w:val="multilevel"/>
    <w:tmpl w:val="EED9DB58"/>
    <w:lvl w:ilvl="0" w:tentative="0">
      <w:start w:val="1"/>
      <w:numFmt w:val="decimal"/>
      <w:suff w:val="nothing"/>
      <w:lvlText w:val="%1．"/>
      <w:lvlJc w:val="left"/>
      <w:pPr>
        <w:ind w:left="0" w:firstLine="40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8">
    <w:nsid w:val="EFF37F09"/>
    <w:multiLevelType w:val="singleLevel"/>
    <w:tmpl w:val="EFF37F09"/>
    <w:lvl w:ilvl="0" w:tentative="0">
      <w:start w:val="1"/>
      <w:numFmt w:val="decimal"/>
      <w:suff w:val="nothing"/>
      <w:lvlText w:val="（%1）"/>
      <w:lvlJc w:val="left"/>
      <w:rPr>
        <w:rFonts w:hint="default"/>
        <w:b w:val="0"/>
        <w:bCs w:val="0"/>
        <w:color w:val="000000"/>
      </w:rPr>
    </w:lvl>
  </w:abstractNum>
  <w:abstractNum w:abstractNumId="29">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0">
    <w:nsid w:val="F3AF4DAD"/>
    <w:multiLevelType w:val="singleLevel"/>
    <w:tmpl w:val="F3AF4DAD"/>
    <w:lvl w:ilvl="0" w:tentative="0">
      <w:start w:val="1"/>
      <w:numFmt w:val="chineseCounting"/>
      <w:suff w:val="nothing"/>
      <w:lvlText w:val="（%1）"/>
      <w:lvlJc w:val="left"/>
      <w:pPr>
        <w:ind w:left="0" w:firstLine="420"/>
      </w:pPr>
      <w:rPr>
        <w:rFonts w:hint="eastAsia"/>
        <w:color w:val="000000"/>
      </w:rPr>
    </w:lvl>
  </w:abstractNum>
  <w:abstractNum w:abstractNumId="31">
    <w:nsid w:val="F44DF26E"/>
    <w:multiLevelType w:val="singleLevel"/>
    <w:tmpl w:val="F44DF26E"/>
    <w:lvl w:ilvl="0" w:tentative="0">
      <w:start w:val="1"/>
      <w:numFmt w:val="decimal"/>
      <w:suff w:val="nothing"/>
      <w:lvlText w:val="%1．"/>
      <w:lvlJc w:val="left"/>
      <w:pPr>
        <w:ind w:left="0" w:firstLine="400"/>
      </w:pPr>
      <w:rPr>
        <w:rFonts w:hint="default"/>
        <w:color w:val="000000"/>
      </w:rPr>
    </w:lvl>
  </w:abstractNum>
  <w:abstractNum w:abstractNumId="32">
    <w:nsid w:val="F574F5B6"/>
    <w:multiLevelType w:val="singleLevel"/>
    <w:tmpl w:val="F574F5B6"/>
    <w:lvl w:ilvl="0" w:tentative="0">
      <w:start w:val="1"/>
      <w:numFmt w:val="decimal"/>
      <w:suff w:val="nothing"/>
      <w:lvlText w:val="（%1）"/>
      <w:lvlJc w:val="left"/>
      <w:rPr>
        <w:color w:val="000000"/>
      </w:rPr>
    </w:lvl>
  </w:abstractNum>
  <w:abstractNum w:abstractNumId="33">
    <w:nsid w:val="FAA9B37B"/>
    <w:multiLevelType w:val="singleLevel"/>
    <w:tmpl w:val="FAA9B37B"/>
    <w:lvl w:ilvl="0" w:tentative="0">
      <w:start w:val="2"/>
      <w:numFmt w:val="chineseCounting"/>
      <w:suff w:val="nothing"/>
      <w:lvlText w:val="%1、"/>
      <w:lvlJc w:val="left"/>
      <w:pPr>
        <w:ind w:left="-420" w:firstLine="420"/>
      </w:pPr>
      <w:rPr>
        <w:rFonts w:hint="eastAsia"/>
        <w:color w:val="000000"/>
      </w:rPr>
    </w:lvl>
  </w:abstractNum>
  <w:abstractNum w:abstractNumId="34">
    <w:nsid w:val="FBBA18C3"/>
    <w:multiLevelType w:val="singleLevel"/>
    <w:tmpl w:val="FBBA18C3"/>
    <w:lvl w:ilvl="0" w:tentative="0">
      <w:start w:val="1"/>
      <w:numFmt w:val="decimal"/>
      <w:lvlText w:val="%1."/>
      <w:lvlJc w:val="left"/>
      <w:pPr>
        <w:tabs>
          <w:tab w:val="left" w:pos="312"/>
        </w:tabs>
      </w:pPr>
      <w:rPr>
        <w:rFonts w:hint="default"/>
        <w:b w:val="0"/>
        <w:bCs w:val="0"/>
        <w:color w:val="000000"/>
        <w:highlight w:val="none"/>
      </w:rPr>
    </w:lvl>
  </w:abstractNum>
  <w:abstractNum w:abstractNumId="35">
    <w:nsid w:val="FFFB3463"/>
    <w:multiLevelType w:val="singleLevel"/>
    <w:tmpl w:val="FFFB3463"/>
    <w:lvl w:ilvl="0" w:tentative="0">
      <w:start w:val="1"/>
      <w:numFmt w:val="chineseCounting"/>
      <w:suff w:val="space"/>
      <w:lvlText w:val="（%1）"/>
      <w:lvlJc w:val="left"/>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color w:val="000000"/>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color w:val="000000"/>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color w:val="000000"/>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color w:val="000000"/>
      </w:rPr>
    </w:lvl>
  </w:abstractNum>
  <w:abstractNum w:abstractNumId="46">
    <w:nsid w:val="2CB63BE6"/>
    <w:multiLevelType w:val="singleLevel"/>
    <w:tmpl w:val="2CB63BE6"/>
    <w:lvl w:ilvl="0" w:tentative="0">
      <w:start w:val="1"/>
      <w:numFmt w:val="decimal"/>
      <w:suff w:val="nothing"/>
      <w:lvlText w:val="（%1）"/>
      <w:lvlJc w:val="left"/>
      <w:rPr>
        <w:rFonts w:hint="default"/>
        <w:b w:val="0"/>
        <w:bCs w:val="0"/>
        <w:color w:val="00000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color w:val="000000"/>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color w:val="000000"/>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color w:val="000000"/>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color w:val="000000"/>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color w:val="000000"/>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color w:val="000000"/>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color w:val="000000"/>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color w:val="000000"/>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color w:val="000000"/>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color w:val="000000"/>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color w:val="000000"/>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color w:val="000000"/>
      </w:rPr>
    </w:lvl>
  </w:abstractNum>
  <w:abstractNum w:abstractNumId="59">
    <w:nsid w:val="5BA91325"/>
    <w:multiLevelType w:val="singleLevel"/>
    <w:tmpl w:val="5BA91325"/>
    <w:lvl w:ilvl="0" w:tentative="0">
      <w:start w:val="1"/>
      <w:numFmt w:val="decimal"/>
      <w:suff w:val="nothing"/>
      <w:lvlText w:val="（%1）"/>
      <w:lvlJc w:val="left"/>
      <w:rPr>
        <w:color w:val="000000"/>
      </w:rPr>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color w:val="000000"/>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color w:val="000000"/>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color w:val="000000"/>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color w:val="000000"/>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color w:val="000000"/>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color w:val="000000"/>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color w:val="000000"/>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color w:val="000000"/>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color w:val="000000"/>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color w:val="000000"/>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color w:val="000000"/>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color w:val="000000"/>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color w:val="000000"/>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color w:val="000000"/>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b w:val="0"/>
        <w:bCs w:val="0"/>
        <w:color w:val="000000"/>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color w:val="000000"/>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color w:val="000000"/>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color w:val="000000"/>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color w:val="000000"/>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color w:val="000000"/>
      </w:rPr>
    </w:lvl>
  </w:abstractNum>
  <w:abstractNum w:abstractNumId="80">
    <w:nsid w:val="61F30F62"/>
    <w:multiLevelType w:val="singleLevel"/>
    <w:tmpl w:val="61F30F62"/>
    <w:lvl w:ilvl="0" w:tentative="0">
      <w:start w:val="1"/>
      <w:numFmt w:val="decimal"/>
      <w:suff w:val="nothing"/>
      <w:lvlText w:val="（%1）"/>
      <w:lvlJc w:val="left"/>
      <w:rPr>
        <w:rFonts w:hint="default"/>
        <w:b w:val="0"/>
        <w:bCs w:val="0"/>
        <w:color w:val="000000"/>
      </w:rPr>
    </w:lvl>
  </w:abstractNum>
  <w:abstractNum w:abstractNumId="81">
    <w:nsid w:val="69C07A9C"/>
    <w:multiLevelType w:val="singleLevel"/>
    <w:tmpl w:val="69C07A9C"/>
    <w:lvl w:ilvl="0" w:tentative="0">
      <w:start w:val="1"/>
      <w:numFmt w:val="lowerLetter"/>
      <w:suff w:val="space"/>
      <w:lvlText w:val="%1."/>
      <w:lvlJc w:val="left"/>
      <w:rPr>
        <w:color w:val="00000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color w:val="000000"/>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color w:val="000000"/>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color w:val="000000"/>
      </w:rPr>
    </w:lvl>
  </w:abstractNum>
  <w:num w:numId="1">
    <w:abstractNumId w:val="13"/>
  </w:num>
  <w:num w:numId="2">
    <w:abstractNumId w:val="0"/>
  </w:num>
  <w:num w:numId="3">
    <w:abstractNumId w:val="51"/>
  </w:num>
  <w:num w:numId="4">
    <w:abstractNumId w:val="43"/>
  </w:num>
  <w:num w:numId="5">
    <w:abstractNumId w:val="35"/>
  </w:num>
  <w:num w:numId="6">
    <w:abstractNumId w:val="18"/>
  </w:num>
  <w:num w:numId="7">
    <w:abstractNumId w:val="83"/>
  </w:num>
  <w:num w:numId="8">
    <w:abstractNumId w:val="38"/>
  </w:num>
  <w:num w:numId="9">
    <w:abstractNumId w:val="84"/>
  </w:num>
  <w:num w:numId="10">
    <w:abstractNumId w:val="57"/>
  </w:num>
  <w:num w:numId="11">
    <w:abstractNumId w:val="53"/>
  </w:num>
  <w:num w:numId="12">
    <w:abstractNumId w:val="33"/>
  </w:num>
  <w:num w:numId="13">
    <w:abstractNumId w:val="30"/>
  </w:num>
  <w:num w:numId="14">
    <w:abstractNumId w:val="39"/>
  </w:num>
  <w:num w:numId="15">
    <w:abstractNumId w:val="29"/>
  </w:num>
  <w:num w:numId="16">
    <w:abstractNumId w:val="20"/>
  </w:num>
  <w:num w:numId="17">
    <w:abstractNumId w:val="10"/>
  </w:num>
  <w:num w:numId="18">
    <w:abstractNumId w:val="16"/>
  </w:num>
  <w:num w:numId="19">
    <w:abstractNumId w:val="7"/>
  </w:num>
  <w:num w:numId="20">
    <w:abstractNumId w:val="8"/>
  </w:num>
  <w:num w:numId="21">
    <w:abstractNumId w:val="6"/>
  </w:num>
  <w:num w:numId="22">
    <w:abstractNumId w:val="34"/>
  </w:num>
  <w:num w:numId="23">
    <w:abstractNumId w:val="52"/>
  </w:num>
  <w:num w:numId="24">
    <w:abstractNumId w:val="32"/>
  </w:num>
  <w:num w:numId="25">
    <w:abstractNumId w:val="54"/>
  </w:num>
  <w:num w:numId="26">
    <w:abstractNumId w:val="59"/>
  </w:num>
  <w:num w:numId="27">
    <w:abstractNumId w:val="81"/>
  </w:num>
  <w:num w:numId="28">
    <w:abstractNumId w:val="45"/>
  </w:num>
  <w:num w:numId="29">
    <w:abstractNumId w:val="19"/>
  </w:num>
  <w:num w:numId="30">
    <w:abstractNumId w:val="44"/>
  </w:num>
  <w:num w:numId="31">
    <w:abstractNumId w:val="22"/>
  </w:num>
  <w:num w:numId="32">
    <w:abstractNumId w:val="5"/>
  </w:num>
  <w:num w:numId="33">
    <w:abstractNumId w:val="56"/>
  </w:num>
  <w:num w:numId="34">
    <w:abstractNumId w:val="4"/>
  </w:num>
  <w:num w:numId="35">
    <w:abstractNumId w:val="37"/>
  </w:num>
  <w:num w:numId="36">
    <w:abstractNumId w:val="42"/>
  </w:num>
  <w:num w:numId="37">
    <w:abstractNumId w:val="82"/>
  </w:num>
  <w:num w:numId="38">
    <w:abstractNumId w:val="36"/>
  </w:num>
  <w:num w:numId="39">
    <w:abstractNumId w:val="21"/>
  </w:num>
  <w:num w:numId="40">
    <w:abstractNumId w:val="47"/>
  </w:num>
  <w:num w:numId="41">
    <w:abstractNumId w:val="24"/>
  </w:num>
  <w:num w:numId="42">
    <w:abstractNumId w:val="50"/>
  </w:num>
  <w:num w:numId="43">
    <w:abstractNumId w:val="2"/>
  </w:num>
  <w:num w:numId="44">
    <w:abstractNumId w:val="25"/>
  </w:num>
  <w:num w:numId="45">
    <w:abstractNumId w:val="27"/>
  </w:num>
  <w:num w:numId="46">
    <w:abstractNumId w:val="55"/>
  </w:num>
  <w:num w:numId="47">
    <w:abstractNumId w:val="40"/>
  </w:num>
  <w:num w:numId="48">
    <w:abstractNumId w:val="17"/>
  </w:num>
  <w:num w:numId="49">
    <w:abstractNumId w:val="31"/>
  </w:num>
  <w:num w:numId="50">
    <w:abstractNumId w:val="26"/>
  </w:num>
  <w:num w:numId="51">
    <w:abstractNumId w:val="28"/>
  </w:num>
  <w:num w:numId="52">
    <w:abstractNumId w:val="80"/>
  </w:num>
  <w:num w:numId="53">
    <w:abstractNumId w:val="46"/>
  </w:num>
  <w:num w:numId="54">
    <w:abstractNumId w:val="1"/>
  </w:num>
  <w:num w:numId="55">
    <w:abstractNumId w:val="58"/>
  </w:num>
  <w:num w:numId="56">
    <w:abstractNumId w:val="11"/>
  </w:num>
  <w:num w:numId="57">
    <w:abstractNumId w:val="9"/>
  </w:num>
  <w:num w:numId="58">
    <w:abstractNumId w:val="12"/>
  </w:num>
  <w:num w:numId="59">
    <w:abstractNumId w:val="41"/>
  </w:num>
  <w:num w:numId="60">
    <w:abstractNumId w:val="23"/>
  </w:num>
  <w:num w:numId="61">
    <w:abstractNumId w:val="3"/>
  </w:num>
  <w:num w:numId="62">
    <w:abstractNumId w:val="49"/>
  </w:num>
  <w:num w:numId="63">
    <w:abstractNumId w:val="67"/>
  </w:num>
  <w:num w:numId="64">
    <w:abstractNumId w:val="66"/>
  </w:num>
  <w:num w:numId="65">
    <w:abstractNumId w:val="68"/>
  </w:num>
  <w:num w:numId="66">
    <w:abstractNumId w:val="69"/>
  </w:num>
  <w:num w:numId="67">
    <w:abstractNumId w:val="70"/>
  </w:num>
  <w:num w:numId="68">
    <w:abstractNumId w:val="71"/>
  </w:num>
  <w:num w:numId="69">
    <w:abstractNumId w:val="72"/>
  </w:num>
  <w:num w:numId="70">
    <w:abstractNumId w:val="73"/>
  </w:num>
  <w:num w:numId="71">
    <w:abstractNumId w:val="48"/>
  </w:num>
  <w:num w:numId="72">
    <w:abstractNumId w:val="15"/>
  </w:num>
  <w:num w:numId="73">
    <w:abstractNumId w:val="60"/>
  </w:num>
  <w:num w:numId="74">
    <w:abstractNumId w:val="61"/>
  </w:num>
  <w:num w:numId="75">
    <w:abstractNumId w:val="62"/>
  </w:num>
  <w:num w:numId="76">
    <w:abstractNumId w:val="63"/>
  </w:num>
  <w:num w:numId="77">
    <w:abstractNumId w:val="64"/>
  </w:num>
  <w:num w:numId="78">
    <w:abstractNumId w:val="65"/>
  </w:num>
  <w:num w:numId="79">
    <w:abstractNumId w:val="74"/>
  </w:num>
  <w:num w:numId="80">
    <w:abstractNumId w:val="75"/>
  </w:num>
  <w:num w:numId="81">
    <w:abstractNumId w:val="14"/>
  </w:num>
  <w:num w:numId="82">
    <w:abstractNumId w:val="76"/>
  </w:num>
  <w:num w:numId="83">
    <w:abstractNumId w:val="77"/>
  </w:num>
  <w:num w:numId="84">
    <w:abstractNumId w:val="78"/>
  </w:num>
  <w:num w:numId="85">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447C25"/>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0E623EB0"/>
    <w:rsid w:val="0F6D2F4F"/>
    <w:rsid w:val="0FFB8BAD"/>
    <w:rsid w:val="10E7747B"/>
    <w:rsid w:val="10F25E29"/>
    <w:rsid w:val="11FA0C01"/>
    <w:rsid w:val="128B25FE"/>
    <w:rsid w:val="12DA17D8"/>
    <w:rsid w:val="15862C7E"/>
    <w:rsid w:val="164976A9"/>
    <w:rsid w:val="178D1D7E"/>
    <w:rsid w:val="17EA7887"/>
    <w:rsid w:val="18321B09"/>
    <w:rsid w:val="18616AA2"/>
    <w:rsid w:val="191F0F43"/>
    <w:rsid w:val="19E235E1"/>
    <w:rsid w:val="1A7E4CCF"/>
    <w:rsid w:val="1BCD72C9"/>
    <w:rsid w:val="1BDEE92B"/>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F73A05"/>
    <w:rsid w:val="29E223F6"/>
    <w:rsid w:val="2A7A79DE"/>
    <w:rsid w:val="2B5C1F0C"/>
    <w:rsid w:val="2BD054E2"/>
    <w:rsid w:val="2D3FA85E"/>
    <w:rsid w:val="2E16D822"/>
    <w:rsid w:val="2EAD6691"/>
    <w:rsid w:val="2F0D25D9"/>
    <w:rsid w:val="2FA97CB8"/>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7F449A0"/>
    <w:rsid w:val="3B1C12F3"/>
    <w:rsid w:val="3BB7EF34"/>
    <w:rsid w:val="3BD53B5C"/>
    <w:rsid w:val="3CC57F13"/>
    <w:rsid w:val="3D4C282D"/>
    <w:rsid w:val="3D970F4E"/>
    <w:rsid w:val="3DE106C6"/>
    <w:rsid w:val="3E540971"/>
    <w:rsid w:val="3E786275"/>
    <w:rsid w:val="3E931F0D"/>
    <w:rsid w:val="3F7E2660"/>
    <w:rsid w:val="3FA31FDD"/>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BF988C8"/>
    <w:rsid w:val="4CC51C60"/>
    <w:rsid w:val="4D3204EA"/>
    <w:rsid w:val="4D697EB1"/>
    <w:rsid w:val="4DFF95C2"/>
    <w:rsid w:val="4E08799D"/>
    <w:rsid w:val="4E2B414A"/>
    <w:rsid w:val="4F5679CC"/>
    <w:rsid w:val="501840BA"/>
    <w:rsid w:val="52B042C0"/>
    <w:rsid w:val="53827B5D"/>
    <w:rsid w:val="53E86B53"/>
    <w:rsid w:val="54D66C67"/>
    <w:rsid w:val="568633C7"/>
    <w:rsid w:val="57061882"/>
    <w:rsid w:val="57280BF2"/>
    <w:rsid w:val="582C3B01"/>
    <w:rsid w:val="582D059F"/>
    <w:rsid w:val="582D396D"/>
    <w:rsid w:val="59083CAE"/>
    <w:rsid w:val="592570E8"/>
    <w:rsid w:val="59435FE6"/>
    <w:rsid w:val="59480030"/>
    <w:rsid w:val="59A3360E"/>
    <w:rsid w:val="5ADE2855"/>
    <w:rsid w:val="5B056CAE"/>
    <w:rsid w:val="5C664A4B"/>
    <w:rsid w:val="5CE67D31"/>
    <w:rsid w:val="5E5F4050"/>
    <w:rsid w:val="5F04726A"/>
    <w:rsid w:val="5F6D37D2"/>
    <w:rsid w:val="5F9C081D"/>
    <w:rsid w:val="606677EA"/>
    <w:rsid w:val="60F34C3C"/>
    <w:rsid w:val="617668BD"/>
    <w:rsid w:val="61D01645"/>
    <w:rsid w:val="63723353"/>
    <w:rsid w:val="64164D78"/>
    <w:rsid w:val="64993141"/>
    <w:rsid w:val="659F27EB"/>
    <w:rsid w:val="659F600E"/>
    <w:rsid w:val="66D37A2C"/>
    <w:rsid w:val="67CE6661"/>
    <w:rsid w:val="680A5A06"/>
    <w:rsid w:val="68B9403E"/>
    <w:rsid w:val="68D511B9"/>
    <w:rsid w:val="68FA6041"/>
    <w:rsid w:val="69827CEE"/>
    <w:rsid w:val="699E5049"/>
    <w:rsid w:val="6BDE71F2"/>
    <w:rsid w:val="6C9577EB"/>
    <w:rsid w:val="6CBA3A99"/>
    <w:rsid w:val="6D3A1203"/>
    <w:rsid w:val="6D7F6733"/>
    <w:rsid w:val="6E9C369D"/>
    <w:rsid w:val="6EF41B11"/>
    <w:rsid w:val="6FB17196"/>
    <w:rsid w:val="702573F3"/>
    <w:rsid w:val="706E8E93"/>
    <w:rsid w:val="70B57531"/>
    <w:rsid w:val="70FA499F"/>
    <w:rsid w:val="713B571A"/>
    <w:rsid w:val="730C182D"/>
    <w:rsid w:val="737FFDFA"/>
    <w:rsid w:val="73FC9A3F"/>
    <w:rsid w:val="751974A1"/>
    <w:rsid w:val="758B30E4"/>
    <w:rsid w:val="75F42331"/>
    <w:rsid w:val="761F7C3C"/>
    <w:rsid w:val="76683D2A"/>
    <w:rsid w:val="76C62D9E"/>
    <w:rsid w:val="779F8057"/>
    <w:rsid w:val="78244617"/>
    <w:rsid w:val="7A923507"/>
    <w:rsid w:val="7ACB640D"/>
    <w:rsid w:val="7BFF1A29"/>
    <w:rsid w:val="7C044D89"/>
    <w:rsid w:val="7C63442B"/>
    <w:rsid w:val="7C7C3745"/>
    <w:rsid w:val="7D3AA22F"/>
    <w:rsid w:val="7D546952"/>
    <w:rsid w:val="7D56646C"/>
    <w:rsid w:val="7DE35ECA"/>
    <w:rsid w:val="7DEFCC9B"/>
    <w:rsid w:val="7E1A0C5A"/>
    <w:rsid w:val="7E3212D3"/>
    <w:rsid w:val="7F365A97"/>
    <w:rsid w:val="7F5F887D"/>
    <w:rsid w:val="7FCC7D05"/>
    <w:rsid w:val="7FEE9983"/>
    <w:rsid w:val="7FEF42B8"/>
    <w:rsid w:val="7FFF0B3B"/>
    <w:rsid w:val="9AFF068C"/>
    <w:rsid w:val="9FD01BC3"/>
    <w:rsid w:val="AF77296E"/>
    <w:rsid w:val="B3FE25BF"/>
    <w:rsid w:val="B73EB5C4"/>
    <w:rsid w:val="BE6E0F8F"/>
    <w:rsid w:val="C38B20D8"/>
    <w:rsid w:val="C679D4D5"/>
    <w:rsid w:val="CA7F3105"/>
    <w:rsid w:val="D3FFF2E3"/>
    <w:rsid w:val="D4B948F0"/>
    <w:rsid w:val="D4F43AA8"/>
    <w:rsid w:val="D7BE90C3"/>
    <w:rsid w:val="D8BF47B9"/>
    <w:rsid w:val="DB7AB19E"/>
    <w:rsid w:val="DDFE51CF"/>
    <w:rsid w:val="E97E32AA"/>
    <w:rsid w:val="EFDFEE78"/>
    <w:rsid w:val="F3C7F184"/>
    <w:rsid w:val="F3F331A4"/>
    <w:rsid w:val="F3FE7E0E"/>
    <w:rsid w:val="F3FF81F7"/>
    <w:rsid w:val="F4EDC7A5"/>
    <w:rsid w:val="F6D7AFF1"/>
    <w:rsid w:val="F7FE62B6"/>
    <w:rsid w:val="FA543BA3"/>
    <w:rsid w:val="FB3B5DB3"/>
    <w:rsid w:val="FBFDB4E3"/>
    <w:rsid w:val="FBFF3395"/>
    <w:rsid w:val="FD7F9463"/>
    <w:rsid w:val="FDFC361F"/>
    <w:rsid w:val="FDFD5128"/>
    <w:rsid w:val="FE8FD80F"/>
    <w:rsid w:val="FEAED78B"/>
    <w:rsid w:val="FF4BD653"/>
    <w:rsid w:val="FF6C6882"/>
    <w:rsid w:val="FFFEC61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5"/>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6"/>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1"/>
    <w:qFormat/>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qFormat/>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character" w:customStyle="1" w:styleId="16">
    <w:name w:val="批注文字 字符"/>
    <w:link w:val="5"/>
    <w:qFormat/>
    <w:uiPriority w:val="0"/>
    <w:rPr>
      <w:rFonts w:ascii="Calibri" w:hAnsi="Calibri" w:cs="黑体"/>
      <w:kern w:val="2"/>
      <w:sz w:val="21"/>
      <w:szCs w:val="24"/>
    </w:rPr>
  </w:style>
  <w:style w:type="character" w:customStyle="1" w:styleId="17">
    <w:name w:val="批注框文本 字符"/>
    <w:link w:val="6"/>
    <w:uiPriority w:val="0"/>
    <w:rPr>
      <w:rFonts w:ascii="Calibri" w:hAnsi="Calibri" w:cs="黑体"/>
      <w:kern w:val="2"/>
      <w:sz w:val="18"/>
      <w:szCs w:val="18"/>
    </w:rPr>
  </w:style>
  <w:style w:type="character" w:customStyle="1" w:styleId="18">
    <w:name w:val="批注主题 字符"/>
    <w:link w:val="10"/>
    <w:uiPriority w:val="0"/>
    <w:rPr>
      <w:rFonts w:ascii="Calibri" w:hAnsi="Calibri" w:cs="黑体"/>
      <w:b/>
      <w:bCs/>
      <w:kern w:val="2"/>
      <w:sz w:val="21"/>
      <w:szCs w:val="24"/>
    </w:rPr>
  </w:style>
  <w:style w:type="paragraph" w:customStyle="1" w:styleId="19">
    <w:name w:val="List Paragraph"/>
    <w:basedOn w:val="1"/>
    <w:unhideWhenUsed/>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批注框文本 Char"/>
    <w:link w:val="6"/>
    <w:uiPriority w:val="0"/>
    <w:rPr>
      <w:rFonts w:ascii="Calibri" w:hAnsi="Calibri" w:cs="黑体"/>
      <w:kern w:val="2"/>
      <w:sz w:val="18"/>
      <w:szCs w:val="18"/>
    </w:rPr>
  </w:style>
  <w:style w:type="paragraph" w:customStyle="1" w:styleId="24">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25">
    <w:name w:val="标题 2 Char"/>
    <w:link w:val="3"/>
    <w:qFormat/>
    <w:uiPriority w:val="0"/>
    <w:rPr>
      <w:rFonts w:ascii="Arial" w:hAnsi="Arial" w:eastAsia="宋体"/>
      <w:b/>
      <w:sz w:val="24"/>
    </w:rPr>
  </w:style>
  <w:style w:type="character" w:customStyle="1" w:styleId="26">
    <w:name w:val="标题 3 Char"/>
    <w:link w:val="4"/>
    <w:qFormat/>
    <w:uiPriority w:val="0"/>
    <w:rPr>
      <w:rFonts w:hAnsi="Calibri" w:eastAsia="宋体"/>
      <w:b/>
      <w:sz w:val="24"/>
    </w:rPr>
  </w:style>
  <w:style w:type="character" w:customStyle="1" w:styleId="27">
    <w:name w:val="标题 1 Char"/>
    <w:link w:val="2"/>
    <w:qFormat/>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68</Pages>
  <Words>43947</Words>
  <Characters>47228</Characters>
  <Lines>1</Lines>
  <Paragraphs>1</Paragraphs>
  <TotalTime>2</TotalTime>
  <ScaleCrop>false</ScaleCrop>
  <LinksUpToDate>false</LinksUpToDate>
  <CharactersWithSpaces>47576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Administrator</dc:creator>
  <cp:lastModifiedBy>hccb</cp:lastModifiedBy>
  <dcterms:modified xsi:type="dcterms:W3CDTF">2026-09-08T01:27:57Z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A6DC37101B004CE3980F956AFE420ED0_43</vt:lpwstr>
  </property>
  <property fmtid="{D5CDD505-2E9C-101B-9397-08002B2CF9AE}" pid="3" name="KSOProductBuildVer">
    <vt:lpwstr>2052-11.8.2.8411</vt:lpwstr>
  </property>
</Properties>
</file>