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bookmarkStart w:id="0" w:name="_GoBack"/>
      <w:bookmarkEnd w:id="0"/>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幸福99丰裕固收386天26094期理财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幸福99丰裕固收386天26094期理财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幸福99丰裕固收386天26094期理财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幸福99丰裕固收386天26094期理财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幸福99丰裕固收386天26094期理财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幸福99丰裕固收386天26094期理财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Z7002226000204</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rPr>
          <w:color w:val="000000"/>
        </w:rPr>
        <w:fldChar w:fldCharType="begin"/>
      </w:r>
      <w:r>
        <w:rPr>
          <w:color w:val="000000"/>
        </w:rPr>
        <w:instrText xml:space="preserve"> HYPERLINK "http://www.hzbank.com.cn" </w:instrText>
      </w:r>
      <w:r>
        <w:rPr>
          <w:color w:val="000000"/>
        </w:rP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color w:val="000000"/>
        </w:rPr>
        <w:fldChar w:fldCharType="begin"/>
      </w:r>
      <w:r>
        <w:rPr>
          <w:color w:val="000000"/>
        </w:rPr>
        <w:instrText xml:space="preserve"> HYPERLINK "http://www.hzbank.com.cn" </w:instrText>
      </w:r>
      <w:r>
        <w:rPr>
          <w:color w:val="000000"/>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幸福99丰裕固收386天26094期理财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幸福99丰裕固收386天26094期理财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丰裕固收26094期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FYG26094</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Z7002226000204</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A份额（销售代码〖FYG26094A〗）：普通个人投资者和机构客户。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B份额（销售代码〖FYG26094B〗）：普通个人投资者和机构客户。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C份额（销售代码〖FYG26094C〗）：普通个人投资者和机构客户。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D份额（销售代码〖FYG26094D〗）：普通个人投资者和机构客户。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E份额（公司专属）（销售代码〖FYG26094E〗）：普通个人投资者和机构客户。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G份额（销售代码〖FYG26094G〗）：普通个人投资者和机构客户。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H份额（销售代码〖FYG26094H〗）：浙商银行浙江省内分行网点开户的客户。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I份额（爽盈优选）（销售代码〖FYG26094I〗）：普通个人投资者和机构客户。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J份额（销售代码〖FYG26094J〗）：普通个人投资者和机构客户。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K份额（鲲鹏优选）（销售代码〖FYG26094K〗）：普通个人投资者和机构客户。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M份额（天府·优选）（销售代码〖FYG26094M〗）：普通个人投资者和机构客户。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N份额惠享款（长长财富·鑫享）（销售代码〖FYG26094N〗）：普通个人投资者和机构客户。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O份额惠享款（销售代码〖FYG26094O〗）：普通个人投资者和机构客户。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P份额（芙蓉锦程·优选）（销售代码〖FYG26094P〗）：普通个人投资者和机构客户。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Q份额（销售代码〖FYG26094Q〗）：普通个人投资者和机构客户。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R份额惠享款吉行十二号（销售代码〖FYG26094R〗）：普通个人投资者和机构客户。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T份额惠享款（齐鲁-逢六有约）（销售代码〖FYG26094T〗）：普通个人投资者和机构客户。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U份额（吉林农商端午节专属）（销售代码〖FYG26094U〗）：普通个人投资者和机构客户。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V份额（金芙蓉专属）（销售代码〖FYG26094V〗）：普通个人投资者和机构客户。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W份额惠享款（销售代码〖FYG26094W〗）：普通个人投资者和机构客户。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X份额（销售代码〖FYG26094X〗）：普通个人投资者。</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Y份额惠享款（销售代码〖FYG26094Y〗）：普通个人投资者和机构客户。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Z份额惠享款（销售代码〖FYG26094Z〗）：普通个人投资者和机构客户。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ZA份额惠享款（销售代码〖FYG26094ZA〗）：普通个人投资者和机构客户。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ZB份额（吉林农商工薪代发专属）（销售代码〖FYG26094ZB〗）：普通个人投资者和机构客户。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ZC份额惠享款（长长财富·臻享）（销售代码〖FYG26094ZC〗）：普通个人投资者和机构客户。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ZD份额惠享款（湖北银行专属）（销售代码〖FYG26094ZD〗）：普通个人投资者和机构客户。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ZF份额（桂银优选）（销售代码〖FYG26094ZF〗）：普通个人投资者和机构客户。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ZG份额（销售代码〖FYG26094ZG〗）：普通个人投资者和机构客户。</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ZH份额（金华银行专属）（销售代码〖FYG26094ZH〗）：普通个人投资者和机构客户。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〖80〗亿元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16</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22</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〖ZH份额〗起点〖1〗元整，超过认购起点部分，应为〖1〗元的整数倍。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本理财计划〖E份额〗业绩比较基准为〖2.20%-2.40%〗（年化）。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本理财计划〖H份额〗业绩比较基准为〖2.50%-2.70%〗（年化）。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本理财计划〖O份额〗业绩比较基准为〖2.35%-2.55%〗（年化）。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本理财计划〖Q份额〗业绩比较基准为〖2.40%-2.60%〗（年化）。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本理财计划〖T份额〗业绩比较基准为〖2.50%-2.70%〗（年化）。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本理财计划〖V份额〗业绩比较基准为〖2.50%-2.70%〗（年化）。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本理财计划〖ZA份额〗业绩比较基准为〖2.50%-2.70%〗（年化）。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本理财计划〖ZB份额〗业绩比较基准为〖2.60%-2.80%〗（年化）。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本理财计划〖ZC份额〗业绩比较基准为〖2.50%-2.70%〗（年化）。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本理财计划〖ZD份额〗业绩比较基准为〖2.65%-2.85%〗（年化）。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本理财计划〖ZF份额〗业绩比较基准为〖2.55%-2.75%〗（年化）。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本理财计划〖ZG份额〗业绩比较基准为〖2.50%-2.70%〗（年化）。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本理财计划〖ZH份额〗业绩比较基准为〖2.60%-2.80%〗（年化）。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〖H份额〗收取年化〖0.15%〗的销售服务费, 〖I份额〗收取年化〖0.30%〗的销售服务费, 〖J份额〗收取年化〖0.05%〗的销售服务费, 〖K份额〗收取年化〖0.30%〗的销售服务费, 〖M份额〗收取年化〖0.15%〗的销售服务费, 〖N份额〗收取年化〖0.20%〗的销售服务费, 〖O份额〗收取年化〖0.30%〗的销售服务费, 〖P份额〗收取年化〖0.15%〗的销售服务费, 〖Q份额〗收取年化〖0.25%〗的销售服务费, 〖R份额〗收取年化〖0.15%〗的销售服务费, 〖T份额〗收取年化〖0.15%〗的销售服务费, 〖U份额〗收取年化〖0.05%〗的销售服务费,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〖ZF份额〗收取年化〖0.15%〗的销售服务费, 〖ZG份额〗收取年化〖0.15%〗的销售服务费, 〖ZH份额〗收取年化〖0.05%〗的销售服务费。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〖T份额〗收取年化〖0.10%〗的固定管理费, 〖U份额〗收取年化〖0.10%〗的固定管理费,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〖ZF份额〗收取年化〖0.05%〗的固定管理费, 〖ZG份额〗收取年化〖0.10%〗的固定管理费, 〖ZH份额〗收取年化〖0.10%〗的固定管理费。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rPr>
          <w:color w:val="000000"/>
        </w:rPr>
        <w:fldChar w:fldCharType="begin"/>
      </w:r>
      <w:r>
        <w:rPr>
          <w:color w:val="000000"/>
        </w:rPr>
        <w:instrText xml:space="preserve"> HYPERLINK "https://baike.baidu.com/item/%E8%AF%81%E5%88%B8%E6%8A%95%E8%B5%84%E5%9F%BA%E9%87%91/3746" \t "https://baike.baidu.com/item/%E5%95%86%E4%B8%9A%E9%93%B6%E8%A1%8C%E7%90%86%E8%B4%A2%E4%B8%9A%E5%8A%A1%E7%9B%91%E7%9D%A3%E7%AE%A1%E7%90%86%E5%8A%9E%E6%B3%95/_blank" </w:instrText>
      </w:r>
      <w:r>
        <w:rPr>
          <w:color w:val="000000"/>
        </w:rP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color w:val="000000"/>
        </w:rPr>
        <w:fldChar w:fldCharType="begin"/>
      </w:r>
      <w:r>
        <w:rPr>
          <w:color w:val="000000"/>
        </w:rPr>
        <w:instrText xml:space="preserve"> HYPERLINK "https://baike.baidu.com/item/%E8%B5%84%E4%BA%A7%E6%94%AF%E6%8C%81%E8%AF%81%E5%88%B8/8989161" \t "https://baike.baidu.com/item/%E5%95%86%E4%B8%9A%E9%93%B6%E8%A1%8C%E7%90%86%E8%B4%A2%E4%B8%9A%E5%8A%A1%E7%9B%91%E7%9D%A3%E7%AE%A1%E7%90%86%E5%8A%9E%E6%B3%95/_blank" </w:instrText>
      </w:r>
      <w:r>
        <w:rPr>
          <w:color w:val="000000"/>
        </w:rP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东莞农村商业银行股份有限公司</w:t>
            </w:r>
          </w:p>
        </w:tc>
        <w:tc>
          <w:tcPr>
            <w:tcW w:w="1200" w:type="dxa"/>
            <w:vAlign w:val="center"/>
          </w:tcPr>
          <w:p>
            <w:pPr>
              <w:jc w:val="left"/>
            </w:pPr>
            <w:r>
              <w:t>住所</w:t>
            </w:r>
          </w:p>
        </w:tc>
        <w:tc>
          <w:tcPr>
            <w:tcW w:w="3800" w:type="dxa"/>
            <w:vAlign w:val="center"/>
          </w:tcPr>
          <w:p>
            <w:pPr>
              <w:jc w:val="center"/>
            </w:pPr>
            <w: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哈密市商业银行股份有限公司</w:t>
            </w:r>
          </w:p>
        </w:tc>
        <w:tc>
          <w:tcPr>
            <w:tcW w:w="1200" w:type="dxa"/>
            <w:vAlign w:val="center"/>
          </w:tcPr>
          <w:p>
            <w:pPr>
              <w:jc w:val="left"/>
            </w:pPr>
            <w:r>
              <w:t>住所</w:t>
            </w:r>
          </w:p>
        </w:tc>
        <w:tc>
          <w:tcPr>
            <w:tcW w:w="3800" w:type="dxa"/>
            <w:vAlign w:val="center"/>
          </w:tcPr>
          <w:p>
            <w:pPr>
              <w:jc w:val="center"/>
            </w:pPr>
            <w: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唐山银行股份有限公司</w:t>
            </w:r>
          </w:p>
        </w:tc>
        <w:tc>
          <w:tcPr>
            <w:tcW w:w="1200" w:type="dxa"/>
            <w:vAlign w:val="center"/>
          </w:tcPr>
          <w:p>
            <w:pPr>
              <w:jc w:val="left"/>
            </w:pPr>
            <w:r>
              <w:t>住所</w:t>
            </w:r>
          </w:p>
        </w:tc>
        <w:tc>
          <w:tcPr>
            <w:tcW w:w="3800" w:type="dxa"/>
            <w:vAlign w:val="center"/>
          </w:tcPr>
          <w:p>
            <w:pPr>
              <w:jc w:val="center"/>
            </w:pPr>
            <w: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广发银行股份有限公司</w:t>
            </w:r>
          </w:p>
        </w:tc>
        <w:tc>
          <w:tcPr>
            <w:tcW w:w="1200" w:type="dxa"/>
            <w:vAlign w:val="center"/>
          </w:tcPr>
          <w:p>
            <w:pPr>
              <w:jc w:val="left"/>
            </w:pPr>
            <w:r>
              <w:t>住所</w:t>
            </w:r>
          </w:p>
        </w:tc>
        <w:tc>
          <w:tcPr>
            <w:tcW w:w="3800" w:type="dxa"/>
            <w:vAlign w:val="center"/>
          </w:tcPr>
          <w:p>
            <w:pPr>
              <w:jc w:val="center"/>
            </w:pPr>
            <w: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广州农村商业银行股份有限公司</w:t>
            </w:r>
          </w:p>
        </w:tc>
        <w:tc>
          <w:tcPr>
            <w:tcW w:w="1200" w:type="dxa"/>
            <w:vAlign w:val="center"/>
          </w:tcPr>
          <w:p>
            <w:pPr>
              <w:jc w:val="left"/>
            </w:pPr>
            <w:r>
              <w:t>住所</w:t>
            </w:r>
          </w:p>
        </w:tc>
        <w:tc>
          <w:tcPr>
            <w:tcW w:w="3800" w:type="dxa"/>
            <w:vAlign w:val="center"/>
          </w:tcPr>
          <w:p>
            <w:pPr>
              <w:jc w:val="center"/>
            </w:pPr>
            <w: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昆仑银行股份有限公司</w:t>
            </w:r>
          </w:p>
        </w:tc>
        <w:tc>
          <w:tcPr>
            <w:tcW w:w="1200" w:type="dxa"/>
            <w:vAlign w:val="center"/>
          </w:tcPr>
          <w:p>
            <w:pPr>
              <w:jc w:val="left"/>
            </w:pPr>
            <w:r>
              <w:t>住所</w:t>
            </w:r>
          </w:p>
        </w:tc>
        <w:tc>
          <w:tcPr>
            <w:tcW w:w="3800" w:type="dxa"/>
            <w:vAlign w:val="center"/>
          </w:tcPr>
          <w:p>
            <w:pPr>
              <w:jc w:val="center"/>
            </w:pPr>
            <w: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江苏常熟农村商业银行股份有限公司</w:t>
            </w:r>
          </w:p>
        </w:tc>
        <w:tc>
          <w:tcPr>
            <w:tcW w:w="1200" w:type="dxa"/>
            <w:vAlign w:val="center"/>
          </w:tcPr>
          <w:p>
            <w:pPr>
              <w:jc w:val="left"/>
            </w:pPr>
            <w:r>
              <w:t>住所</w:t>
            </w:r>
          </w:p>
        </w:tc>
        <w:tc>
          <w:tcPr>
            <w:tcW w:w="3800" w:type="dxa"/>
            <w:vAlign w:val="center"/>
          </w:tcPr>
          <w:p>
            <w:pPr>
              <w:jc w:val="center"/>
            </w:pPr>
            <w: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江苏滨海农村商业银行股份有限公司</w:t>
            </w:r>
          </w:p>
        </w:tc>
        <w:tc>
          <w:tcPr>
            <w:tcW w:w="1200" w:type="dxa"/>
            <w:vAlign w:val="center"/>
          </w:tcPr>
          <w:p>
            <w:pPr>
              <w:jc w:val="left"/>
            </w:pPr>
            <w:r>
              <w:t>住所</w:t>
            </w:r>
          </w:p>
        </w:tc>
        <w:tc>
          <w:tcPr>
            <w:tcW w:w="3800" w:type="dxa"/>
            <w:vAlign w:val="center"/>
          </w:tcPr>
          <w:p>
            <w:pPr>
              <w:jc w:val="center"/>
            </w:pPr>
            <w: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江苏高邮农村商业银行股份有限公司</w:t>
            </w:r>
          </w:p>
        </w:tc>
        <w:tc>
          <w:tcPr>
            <w:tcW w:w="1200" w:type="dxa"/>
            <w:vAlign w:val="center"/>
          </w:tcPr>
          <w:p>
            <w:pPr>
              <w:jc w:val="left"/>
            </w:pPr>
            <w:r>
              <w:t>住所</w:t>
            </w:r>
          </w:p>
        </w:tc>
        <w:tc>
          <w:tcPr>
            <w:tcW w:w="3800" w:type="dxa"/>
            <w:vAlign w:val="center"/>
          </w:tcPr>
          <w:p>
            <w:pPr>
              <w:jc w:val="center"/>
            </w:pPr>
            <w: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珠海农村商业银行股份有限公司</w:t>
            </w:r>
          </w:p>
        </w:tc>
        <w:tc>
          <w:tcPr>
            <w:tcW w:w="1200" w:type="dxa"/>
            <w:vAlign w:val="center"/>
          </w:tcPr>
          <w:p>
            <w:pPr>
              <w:jc w:val="left"/>
            </w:pPr>
            <w:r>
              <w:t>住所</w:t>
            </w:r>
          </w:p>
        </w:tc>
        <w:tc>
          <w:tcPr>
            <w:tcW w:w="3800" w:type="dxa"/>
            <w:vAlign w:val="center"/>
          </w:tcPr>
          <w:p>
            <w:pPr>
              <w:jc w:val="center"/>
            </w:pPr>
            <w: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苏州银行股份有限公司</w:t>
            </w:r>
          </w:p>
        </w:tc>
        <w:tc>
          <w:tcPr>
            <w:tcW w:w="1200" w:type="dxa"/>
            <w:vAlign w:val="center"/>
          </w:tcPr>
          <w:p>
            <w:pPr>
              <w:jc w:val="left"/>
            </w:pPr>
            <w:r>
              <w:t>住所</w:t>
            </w:r>
          </w:p>
        </w:tc>
        <w:tc>
          <w:tcPr>
            <w:tcW w:w="3800" w:type="dxa"/>
            <w:vAlign w:val="center"/>
          </w:tcPr>
          <w:p>
            <w:pPr>
              <w:jc w:val="center"/>
            </w:pPr>
            <w: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辽宁农村商业银行股份有限公司</w:t>
            </w:r>
          </w:p>
        </w:tc>
        <w:tc>
          <w:tcPr>
            <w:tcW w:w="1200" w:type="dxa"/>
            <w:vAlign w:val="center"/>
          </w:tcPr>
          <w:p>
            <w:pPr>
              <w:jc w:val="left"/>
            </w:pPr>
            <w:r>
              <w:t>住所</w:t>
            </w:r>
          </w:p>
        </w:tc>
        <w:tc>
          <w:tcPr>
            <w:tcW w:w="3800" w:type="dxa"/>
            <w:vAlign w:val="center"/>
          </w:tcPr>
          <w:p>
            <w:pPr>
              <w:jc w:val="center"/>
            </w:pPr>
            <w: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P份额〗、〖Q份额〗、〖U份额〗、〖V份额〗、〖X份额〗、〖ZB份额〗、〖ZF份额〗、〖ZG份额〗、〖ZH份额〗和销售服务费于产品成立日一次性收取的〖N份额〗、〖O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H份额的年化销售服务费率为〖0.15%〗, I份额的年化销售服务费率为〖0.30%〗, J份额的年化销售服务费率为〖0.05%〗, K份额的年化销售服务费率为〖0.30%〗, M份额的年化销售服务费率为〖0.15%〗, N份额的年化销售服务费率为〖0.20%〗, O份额的年化销售服务费率为〖0.30%〗, P份额的年化销售服务费率为〖0.15%〗, Q份额的年化销售服务费率为〖0.25%〗, R份额的年化销售服务费率为〖0.15%〗, T份额的年化销售服务费率为〖0.15%〗, U份额的年化销售服务费率为〖0.05%〗,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ZF份额的年化销售服务费率为〖0.15%〗, ZG份额的年化销售服务费率为〖0.15%〗, ZH份额的年化销售服务费率为〖0.05%〗。两种计算方法如下：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T份额的年化固定管理费率为〖0.10%〗, U份额的年化固定管理费率为〖0.10%〗,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ZF份额的年化固定管理费率为〖0.05%〗, ZG份额的年化固定管理费率为〖0.10%〗, ZH份额的年化固定管理费率为〖0.10%〗,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rPr>
          <w:color w:val="000000"/>
        </w:rPr>
        <w:fldChar w:fldCharType="begin"/>
      </w:r>
      <w:r>
        <w:rPr>
          <w:color w:val="000000"/>
        </w:rPr>
        <w:instrText xml:space="preserve"> HYPERLINK "http://www.hzbankwealth.cn" </w:instrText>
      </w:r>
      <w:r>
        <w:rPr>
          <w:color w:val="000000"/>
        </w:rP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color w:val="000000"/>
          <w:sz w:val="24"/>
          <w:highlight w:val="none"/>
        </w:rPr>
        <w:t xml:space="preserve">   年   月   日</w:t>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59264"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4F13FD9"/>
    <w:rsid w:val="46184F00"/>
    <w:rsid w:val="466F6F60"/>
    <w:rsid w:val="46A726DE"/>
    <w:rsid w:val="4745701D"/>
    <w:rsid w:val="477B0F69"/>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40115</Words>
  <Characters>43440</Characters>
  <Lines>1</Lines>
  <Paragraphs>1</Paragraphs>
  <TotalTime>0</TotalTime>
  <ScaleCrop>false</ScaleCrop>
  <LinksUpToDate>false</LinksUpToDate>
  <CharactersWithSpaces>43967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2026-06-11T06:15:43Z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