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bookmarkStart w:id="0" w:name="_GoBack"/>
      <w:bookmarkEnd w:id="0"/>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杭银理财幸福99半年添益2013期理财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w:t>
      </w:r>
      <w:r>
        <w:rPr>
          <w:rFonts w:hint="eastAsia" w:ascii="宋体" w:hAnsi="宋体" w:eastAsia="宋体" w:cs="宋体"/>
          <w:kern w:val="2"/>
          <w:sz w:val="32"/>
          <w:szCs w:val="32"/>
          <w:highlight w:val="none"/>
          <w:lang w:val="en-US" w:eastAsia="zh-CN" w:bidi="ar-SA"/>
        </w:rPr>
        <w:t>杭州银行股份有限公司</w:t>
      </w:r>
    </w:p>
    <w:p>
      <w:pPr>
        <w:ind w:firstLine="1280" w:firstLineChars="400"/>
        <w:jc w:val="left"/>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杭银理财幸福99半年添益2013期理财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11"/>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杭银理财幸福99半年添益2013期理财</w:t>
            </w:r>
            <w:r>
              <w:rPr>
                <w:rFonts w:hint="eastAsia" w:ascii="宋体" w:hAnsi="宋体" w:cs="宋体"/>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杭银理财幸福99半年添益2013期理财</w:t>
            </w:r>
            <w:r>
              <w:rPr>
                <w:rFonts w:hint="eastAsia" w:ascii="宋体" w:hAnsi="宋体" w:cs="宋体"/>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杭银理财幸福99半年添益2013期理财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资金流动性风险：本理财计划定期开放申购、赎回，非开放期内投资者不得提前交易。</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cs="宋体"/>
          <w:b/>
          <w:sz w:val="24"/>
          <w:highlight w:val="none"/>
        </w:rPr>
      </w:pPr>
      <w:r>
        <w:rPr>
          <w:rFonts w:hint="eastAsia" w:ascii="宋体" w:hAnsi="宋体" w:eastAsia="宋体" w:cs="宋体"/>
          <w:b/>
          <w:bCs/>
          <w:kern w:val="2"/>
          <w:sz w:val="24"/>
          <w:szCs w:val="24"/>
          <w:lang w:val="en-US" w:eastAsia="zh-CN" w:bidi="ar"/>
        </w:rPr>
        <w:t>收益不达业绩比较基准风险：业绩比较基准并非预测收益，不代表产品的未来表现和实际收益；本理财计划的投资收益与投资者的申购、赎回时点密切相关，收益存在一定的波动性，产品本金出现损失的可能性不容忽视。</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cs="宋体"/>
          <w:b/>
          <w:sz w:val="24"/>
          <w:highlight w:val="none"/>
          <w:lang w:eastAsia="zh-CN"/>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pStyle w:val="20"/>
        <w:pageBreakBefore/>
        <w:widowControl w:val="0"/>
        <w:spacing w:line="360" w:lineRule="auto"/>
        <w:ind w:left="0" w:leftChars="0"/>
        <w:jc w:val="center"/>
        <w:outlineLvl w:val="9"/>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20"/>
        <w:spacing w:line="360" w:lineRule="auto"/>
        <w:jc w:val="both"/>
        <w:rPr>
          <w:rFonts w:hint="eastAsia" w:ascii="宋体" w:hAnsi="宋体" w:cs="宋体"/>
          <w:b/>
          <w:color w:val="auto"/>
          <w:highlight w:val="none"/>
        </w:rPr>
      </w:pP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20"/>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20"/>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20"/>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20"/>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pStyle w:val="20"/>
        <w:pageBreakBefore/>
        <w:widowControl/>
        <w:spacing w:line="360" w:lineRule="auto"/>
        <w:ind w:firstLine="482" w:firstLineChars="200"/>
        <w:jc w:val="center"/>
        <w:outlineLvl w:val="9"/>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杭银理财幸福99半年添益2013期理财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Z7002221000178</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sz w:val="24"/>
          <w:highlight w:val="none"/>
          <w:lang w:eastAsia="zh-CN"/>
        </w:rPr>
        <w:t>理财计划</w:t>
      </w:r>
      <w:r>
        <w:rPr>
          <w:rFonts w:hint="eastAsia" w:ascii="宋体" w:hAnsi="宋体" w:cs="宋体"/>
          <w:bCs/>
          <w:sz w:val="24"/>
          <w:highlight w:val="none"/>
        </w:rPr>
        <w:t>风险揭示书》《投资者权益须知》《理财计划投资协议书》</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numPr>
          <w:ilvl w:val="0"/>
          <w:numId w:val="0"/>
        </w:numPr>
        <w:spacing w:line="360" w:lineRule="auto"/>
        <w:jc w:val="left"/>
        <w:rPr>
          <w:rFonts w:hint="eastAsia" w:ascii="宋体" w:hAnsi="宋体" w:cs="宋体"/>
          <w:bCs/>
          <w:sz w:val="24"/>
          <w:highlight w:val="none"/>
        </w:rPr>
      </w:pPr>
    </w:p>
    <w:p>
      <w:pPr>
        <w:numPr>
          <w:ilvl w:val="0"/>
          <w:numId w:val="11"/>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释义</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fldChar w:fldCharType="begin"/>
      </w:r>
      <w:r>
        <w:instrText xml:space="preserve"> HYPERLINK "http://www.hzbank.com.cn" </w:instrText>
      </w:r>
      <w: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20"/>
        <w:numPr>
          <w:ilvl w:val="0"/>
          <w:numId w:val="13"/>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fldChar w:fldCharType="begin"/>
      </w:r>
      <w:r>
        <w:instrText xml:space="preserve"> HYPERLINK "http://www.hzbank.com.cn" </w:instrText>
      </w:r>
      <w: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杭银理财幸福99半年添益2013期理财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杭银理财幸福99半年添益2013期理财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杭银理财幸福99半年添益2013期理财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杭银理财幸福99半年添益2013期理财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杭银理财幸福99半年添益2013期理财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产品说明书</w:t>
      </w:r>
      <w:r>
        <w:rPr>
          <w:rFonts w:hint="eastAsia" w:ascii="宋体" w:hAnsi="宋体" w:cs="宋体"/>
          <w:bCs/>
          <w:color w:val="auto"/>
          <w:kern w:val="2"/>
          <w:highlight w:val="none"/>
        </w:rPr>
        <w:t>》《投资者权益须知》《理财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杭银理财幸福99半年添益2013期理财</w:t>
      </w:r>
      <w:r>
        <w:rPr>
          <w:rFonts w:hint="eastAsia" w:ascii="宋体" w:hAnsi="宋体" w:cs="宋体"/>
          <w:bCs/>
          <w:highlight w:val="none"/>
        </w:rPr>
        <w:t>。</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20"/>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20"/>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20"/>
        <w:numPr>
          <w:ilvl w:val="0"/>
          <w:numId w:val="15"/>
        </w:numPr>
        <w:adjustRightInd/>
        <w:spacing w:line="360" w:lineRule="auto"/>
        <w:ind w:left="0"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投资周期</w:t>
      </w:r>
      <w:r>
        <w:rPr>
          <w:rFonts w:hint="eastAsia" w:ascii="宋体" w:hAnsi="宋体" w:cs="宋体"/>
          <w:b/>
          <w:color w:val="auto"/>
          <w:kern w:val="2"/>
          <w:highlight w:val="none"/>
          <w:lang w:eastAsia="zh-CN"/>
        </w:rPr>
        <w:t>：</w:t>
      </w:r>
      <w:r>
        <w:rPr>
          <w:rFonts w:hint="eastAsia" w:ascii="宋体" w:hAnsi="宋体" w:cs="宋体"/>
          <w:b w:val="0"/>
          <w:bCs/>
          <w:color w:val="auto"/>
          <w:kern w:val="2"/>
          <w:highlight w:val="none"/>
          <w:lang w:eastAsia="zh-CN"/>
        </w:rPr>
        <w:t>指理财计划成立或申购</w:t>
      </w:r>
      <w:r>
        <w:rPr>
          <w:rFonts w:hint="eastAsia" w:ascii="宋体" w:hAnsi="宋体" w:cs="宋体"/>
          <w:b w:val="0"/>
          <w:bCs/>
          <w:color w:val="auto"/>
          <w:kern w:val="2"/>
          <w:highlight w:val="none"/>
          <w:lang w:val="en-US" w:eastAsia="zh-CN"/>
        </w:rPr>
        <w:t>/赎回</w:t>
      </w:r>
      <w:r>
        <w:rPr>
          <w:rFonts w:hint="eastAsia" w:ascii="宋体" w:hAnsi="宋体" w:cs="宋体"/>
          <w:b w:val="0"/>
          <w:bCs/>
          <w:color w:val="auto"/>
          <w:kern w:val="2"/>
          <w:highlight w:val="none"/>
          <w:lang w:eastAsia="zh-CN"/>
        </w:rPr>
        <w:t>开放期确认后，至下一个申购</w:t>
      </w:r>
      <w:r>
        <w:rPr>
          <w:rFonts w:hint="eastAsia" w:ascii="宋体" w:hAnsi="宋体" w:cs="宋体"/>
          <w:b w:val="0"/>
          <w:bCs/>
          <w:color w:val="auto"/>
          <w:kern w:val="2"/>
          <w:highlight w:val="none"/>
          <w:lang w:val="en-US" w:eastAsia="zh-CN"/>
        </w:rPr>
        <w:t>/赎回开放期确认前的时间。如申购和赎回开放期确认时间不一致，应明确以申购投资周期或赎回投资周期作为理财计划的投资周期。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开放期：</w:t>
      </w:r>
      <w:r>
        <w:rPr>
          <w:rFonts w:hint="eastAsia" w:ascii="宋体" w:hAnsi="宋体" w:cs="宋体"/>
          <w:bCs/>
          <w:highlight w:val="none"/>
        </w:rPr>
        <w:t>指管理人向投资者提供申购</w:t>
      </w:r>
      <w:r>
        <w:rPr>
          <w:rFonts w:hint="eastAsia" w:ascii="宋体" w:hAnsi="宋体" w:cs="宋体"/>
          <w:bCs/>
          <w:highlight w:val="none"/>
          <w:lang w:eastAsia="zh-CN"/>
        </w:rPr>
        <w:t>、</w:t>
      </w:r>
      <w:r>
        <w:rPr>
          <w:rFonts w:hint="eastAsia" w:ascii="宋体" w:hAnsi="宋体" w:cs="宋体"/>
          <w:bCs/>
          <w:highlight w:val="none"/>
          <w:lang w:val="en-US" w:eastAsia="zh-CN"/>
        </w:rPr>
        <w:t>赎回</w:t>
      </w:r>
      <w:r>
        <w:rPr>
          <w:rFonts w:hint="eastAsia" w:ascii="宋体" w:hAnsi="宋体" w:cs="宋体"/>
          <w:bCs/>
          <w:highlight w:val="none"/>
        </w:rPr>
        <w:t>交易的时间。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w:t>
      </w:r>
      <w:r>
        <w:rPr>
          <w:rFonts w:hint="eastAsia" w:ascii="宋体" w:hAnsi="宋体" w:cs="宋体"/>
          <w:bCs/>
          <w:color w:val="auto"/>
          <w:kern w:val="2"/>
          <w:highlight w:val="none"/>
          <w:lang w:eastAsia="zh-CN"/>
        </w:rPr>
        <w:t>、</w:t>
      </w:r>
      <w:r>
        <w:rPr>
          <w:rFonts w:hint="eastAsia" w:ascii="宋体" w:hAnsi="宋体" w:cs="宋体"/>
          <w:bCs/>
          <w:color w:val="auto"/>
          <w:kern w:val="2"/>
          <w:highlight w:val="none"/>
          <w:lang w:val="en-US" w:eastAsia="zh-CN"/>
        </w:rPr>
        <w:t>赎回</w:t>
      </w:r>
      <w:r>
        <w:rPr>
          <w:rFonts w:hint="eastAsia" w:ascii="宋体" w:hAnsi="宋体" w:cs="宋体"/>
          <w:bCs/>
          <w:color w:val="auto"/>
          <w:kern w:val="2"/>
          <w:highlight w:val="none"/>
        </w:rPr>
        <w:t>交易是否有效的日期。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赎回</w:t>
      </w:r>
      <w:r>
        <w:rPr>
          <w:rFonts w:hint="eastAsia" w:ascii="宋体" w:hAnsi="宋体" w:cs="宋体"/>
          <w:bCs/>
          <w:color w:val="auto"/>
          <w:kern w:val="2"/>
          <w:highlight w:val="none"/>
        </w:rPr>
        <w:t>开放期内，投资者向管理人进行理财计划份额卖出的行为。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流</w:t>
      </w:r>
      <w:r>
        <w:rPr>
          <w:rFonts w:hint="eastAsia"/>
          <w:b/>
          <w:bCs w:val="0"/>
          <w:highlight w:val="none"/>
          <w:lang w:val="en-US" w:eastAsia="zh-CN"/>
        </w:rPr>
        <w:t>动性受限资产：</w:t>
      </w:r>
      <w:r>
        <w:rPr>
          <w:rFonts w:hint="eastAsia"/>
          <w:highlight w:val="none"/>
          <w:lang w:val="en-US" w:eastAsia="zh-CN"/>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7个工作日可变现资产：</w:t>
      </w:r>
      <w:r>
        <w:rPr>
          <w:rFonts w:hint="eastAsia"/>
          <w:highlight w:val="none"/>
          <w:lang w:val="en-US" w:eastAsia="zh-CN"/>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20"/>
        <w:numPr>
          <w:ilvl w:val="0"/>
          <w:numId w:val="16"/>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20"/>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20"/>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20"/>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20"/>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20"/>
        <w:numPr>
          <w:ilvl w:val="0"/>
          <w:numId w:val="0"/>
        </w:numPr>
        <w:adjustRightInd/>
        <w:spacing w:line="360" w:lineRule="auto"/>
        <w:rPr>
          <w:rFonts w:hint="eastAsia" w:ascii="宋体" w:hAnsi="宋体" w:cs="宋体"/>
          <w:b/>
          <w:color w:val="auto"/>
          <w:kern w:val="2"/>
          <w:highlight w:val="none"/>
        </w:rPr>
      </w:pPr>
    </w:p>
    <w:p>
      <w:pPr>
        <w:pStyle w:val="20"/>
        <w:numPr>
          <w:ilvl w:val="0"/>
          <w:numId w:val="18"/>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20"/>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20"/>
        <w:adjustRightInd/>
        <w:spacing w:line="360" w:lineRule="auto"/>
        <w:rPr>
          <w:rFonts w:hint="eastAsia" w:ascii="宋体" w:hAnsi="宋体" w:cs="宋体"/>
          <w:b/>
          <w:color w:val="auto"/>
          <w:kern w:val="2"/>
          <w:highlight w:val="none"/>
        </w:rPr>
      </w:pPr>
    </w:p>
    <w:p>
      <w:pPr>
        <w:pStyle w:val="20"/>
        <w:numPr>
          <w:ilvl w:val="0"/>
          <w:numId w:val="18"/>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杭银理财幸福99半年添益2013期理财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半年添益2013期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TYG6M2013</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Z7002221000178</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 w:val="21"/>
                <w:szCs w:val="21"/>
                <w:highlight w:val="none"/>
              </w:rPr>
              <w:t>。</w:t>
            </w:r>
            <w:r>
              <w:rPr>
                <w:rFonts w:hint="eastAsia" w:ascii="宋体" w:hAnsi="宋体" w:cs="宋体"/>
                <w:bCs/>
                <w:color w:val="auto"/>
                <w:kern w:val="2"/>
                <w:sz w:val="21"/>
                <w:szCs w:val="21"/>
                <w:highlight w:val="none"/>
                <w:lang w:eastAsia="zh-CN"/>
              </w:rPr>
              <w:t>投资者风险承受能力评级水平以销售机构评估为准。</w:t>
            </w:r>
          </w:p>
          <w:p>
            <w:pPr>
              <w:pageBreakBefore w:val="0"/>
              <w:spacing w:before="0" w:after="0" w:line="360" w:lineRule="auto"/>
              <w:ind w:left="0" w:right="0" w:hanging="1"/>
              <w:jc w:val="left"/>
              <w:textAlignment w:val="auto"/>
            </w:pPr>
            <w:r>
              <w:rPr>
                <w:rFonts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A份额（销售代码〖TYG6M2013〗）：普通个人投资者和机构客户。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B份额（销售代码〖TYG6M2013B〗）：普通个人投资者和机构客户。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H份额（销售代码〖TYG6M2013H〗）：普通个人投资者和机构客户。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W份额（销售代码〖TYG6M2013W〗）：面向〖普通个人投资者和机构客户〗发售。。</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ZA份额（自动赎回）（销售代码〖TYG6M2013ZA〗）：普通个人投资者和机构客户。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ZM份额（销售名称：杭银理财幸福99半年添益2013期理财ZM款自动赎回（天府·优选））（销售代码〖TYG6M2013ZM〗）：普通个人投资者和机构客户。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 w:val="21"/>
                <w:szCs w:val="21"/>
                <w:highlight w:val="none"/>
              </w:rPr>
              <w:t>〗</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可通过</w:t>
            </w:r>
            <w:r>
              <w:rPr>
                <w:rFonts w:hint="eastAsia" w:ascii="宋体" w:hAnsi="宋体" w:cs="宋体"/>
                <w:color w:val="000000"/>
                <w:sz w:val="21"/>
                <w:szCs w:val="21"/>
                <w:highlight w:val="none"/>
                <w:lang w:eastAsia="zh-CN"/>
              </w:rPr>
              <w:t>杭银理财直销渠道和代理</w:t>
            </w:r>
            <w:r>
              <w:rPr>
                <w:rFonts w:hint="eastAsia" w:ascii="宋体" w:hAnsi="宋体" w:cs="宋体"/>
                <w:color w:val="000000"/>
                <w:sz w:val="21"/>
                <w:szCs w:val="21"/>
                <w:highlight w:val="none"/>
              </w:rPr>
              <w:t>销售机构的〖营业网点、网上银行、手机银行〗等渠道购买</w:t>
            </w:r>
            <w:r>
              <w:rPr>
                <w:rFonts w:hint="eastAsia" w:ascii="宋体" w:hAnsi="宋体" w:cs="宋体"/>
                <w:color w:val="000000"/>
                <w:sz w:val="21"/>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2020</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21</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2020</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28</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2020</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29</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无固定期限</w:t>
            </w:r>
            <w:r>
              <w:rPr>
                <w:rFonts w:hint="eastAsia" w:ascii="宋体" w:hAnsi="宋体" w:cs="宋体"/>
                <w:color w:val="000000"/>
                <w:sz w:val="21"/>
                <w:szCs w:val="21"/>
                <w:highlight w:val="none"/>
              </w:rPr>
              <w:t>（实际理财期限受制于管理人提前终止权等条款）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封闭期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pageBreakBefore w:val="0"/>
              <w:spacing w:before="0" w:after="0" w:line="360" w:lineRule="auto"/>
              <w:ind w:left="0" w:right="0" w:hanging="1"/>
              <w:jc w:val="left"/>
              <w:textAlignment w:val="auto"/>
            </w:pPr>
            <w:r>
              <w:rPr>
                <w:rFonts w:ascii="宋体" w:hAnsi="宋体" w:eastAsia="宋体" w:cs="宋体"/>
                <w:b w:val="0"/>
                <w:i w:val="0"/>
                <w:caps w:val="0"/>
                <w:strike w:val="0"/>
                <w:dstrike w:val="0"/>
                <w:shadow w:val="0"/>
                <w:emboss w:val="0"/>
                <w:imprint w:val="0"/>
                <w:color w:val="auto"/>
                <w:kern w:val="2"/>
                <w:position w:val="-1"/>
                <w:sz w:val="21"/>
                <w:u w:val="none"/>
                <w:vertAlign w:val="baseline"/>
              </w:rPr>
              <w:t>〖A份额〗起点〖1〗元整，超过认购/申购起点部分，应为〖1〗元的整数倍。</w:t>
            </w:r>
            <w:r>
              <w:rPr>
                <w:rFonts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1"/>
                <w:u w:val="none"/>
                <w:vertAlign w:val="baseline"/>
              </w:rPr>
              <w:t>〖B份额〗起点〖1〗元整，超过认购/申购起点部分，应为〖1〗元的整数倍。</w:t>
            </w:r>
            <w:r>
              <w:rPr>
                <w:rFonts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1"/>
                <w:u w:val="none"/>
                <w:vertAlign w:val="baseline"/>
              </w:rPr>
              <w:t>〖H份额〗起点〖1〗元整，超过认购/申购起点部分，应为〖1〗元的整数倍。</w:t>
            </w:r>
            <w:r>
              <w:rPr>
                <w:rFonts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1"/>
                <w:u w:val="none"/>
                <w:vertAlign w:val="baseline"/>
              </w:rPr>
              <w:t>〖W份额〗起点〖1〗元整，超过认购/申购起点部分，应为〖1〗元的整数倍。</w:t>
            </w:r>
            <w:r>
              <w:rPr>
                <w:rFonts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1"/>
                <w:u w:val="none"/>
                <w:vertAlign w:val="baseline"/>
              </w:rPr>
              <w:t>〖ZA份额〗起点〖1〗元整，超过认购/申购起点部分，应为〖1〗元的整数倍。</w:t>
            </w:r>
            <w:r>
              <w:rPr>
                <w:rFonts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1"/>
                <w:u w:val="none"/>
                <w:vertAlign w:val="baseline"/>
              </w:rPr>
              <w:t>〖ZM份额〗起点〖1〗元整，超过认购/申购起点部分，应为〖1〗元的整数倍。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〖2〗千万元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开放期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理财计划</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每半年</w:t>
            </w:r>
            <w:r>
              <w:rPr>
                <w:rFonts w:hint="eastAsia" w:ascii="宋体" w:hAnsi="宋体" w:cs="宋体"/>
                <w:sz w:val="21"/>
                <w:szCs w:val="21"/>
                <w:highlight w:val="none"/>
              </w:rPr>
              <w:t>〗</w:t>
            </w:r>
            <w:r>
              <w:rPr>
                <w:rFonts w:hint="eastAsia" w:ascii="宋体" w:hAnsi="宋体" w:cs="宋体"/>
                <w:sz w:val="21"/>
                <w:szCs w:val="21"/>
                <w:highlight w:val="none"/>
                <w:lang w:val="en-US" w:eastAsia="zh-CN"/>
              </w:rPr>
              <w:t>开放一次，</w:t>
            </w:r>
            <w:r>
              <w:rPr>
                <w:rFonts w:hint="eastAsia" w:ascii="宋体" w:hAnsi="宋体" w:cs="宋体"/>
                <w:sz w:val="21"/>
                <w:szCs w:val="21"/>
                <w:highlight w:val="none"/>
              </w:rPr>
              <w:t>具体开放期将以管理人公告为准</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如遇开放确认日为非工作日，则顺延至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default" w:ascii="宋体" w:hAnsi="宋体" w:cs="宋体"/>
                <w:color w:val="FF0000"/>
                <w:sz w:val="21"/>
                <w:szCs w:val="21"/>
                <w:highlight w:val="none"/>
              </w:rPr>
            </w:pPr>
            <w:r>
              <w:rPr>
                <w:rFonts w:hint="eastAsia" w:ascii="宋体" w:hAnsi="宋体" w:cs="宋体"/>
                <w:color w:val="000000"/>
                <w:sz w:val="21"/>
                <w:szCs w:val="21"/>
                <w:highlight w:val="none"/>
              </w:rPr>
              <w:t>1.本理财计划在每个开放期的开放日工作时间均可进行申购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申请将在确认日，即开放期后的第〖1〗个〖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w:t>
            </w:r>
            <w:r>
              <w:rPr>
                <w:rFonts w:hint="eastAsia" w:ascii="宋体" w:hAnsi="宋体" w:cs="宋体"/>
                <w:bCs/>
                <w:color w:val="000000"/>
                <w:sz w:val="21"/>
                <w:szCs w:val="21"/>
                <w:highlight w:val="none"/>
              </w:rPr>
              <w:t>进行确认</w:t>
            </w:r>
            <w:r>
              <w:rPr>
                <w:rFonts w:hint="eastAsia" w:ascii="宋体" w:hAnsi="宋体" w:cs="宋体"/>
                <w:bCs/>
                <w:color w:val="000000"/>
                <w:sz w:val="21"/>
                <w:szCs w:val="21"/>
                <w:highlight w:val="none"/>
                <w:lang w:eastAsia="zh-CN"/>
              </w:rPr>
              <w:t>，</w:t>
            </w:r>
            <w:r>
              <w:rPr>
                <w:rFonts w:hint="eastAsia" w:ascii="宋体" w:hAnsi="宋体" w:eastAsia="宋体" w:cs="宋体"/>
                <w:kern w:val="2"/>
                <w:sz w:val="21"/>
                <w:szCs w:val="21"/>
                <w:lang w:val="en-US" w:eastAsia="zh-CN" w:bidi="ar"/>
              </w:rPr>
              <w:t>（ZA、ZM份</w:t>
            </w:r>
            <w:r>
              <w:rPr>
                <w:rFonts w:hint="eastAsia" w:ascii="宋体" w:hAnsi="宋体" w:cs="宋体"/>
                <w:kern w:val="2"/>
                <w:sz w:val="21"/>
                <w:szCs w:val="21"/>
                <w:lang w:val="en-US" w:eastAsia="zh-CN" w:bidi="ar"/>
              </w:rPr>
              <w:t>额无</w:t>
            </w:r>
            <w:r>
              <w:rPr>
                <w:rFonts w:hint="eastAsia" w:ascii="宋体" w:hAnsi="宋体" w:eastAsia="宋体" w:cs="宋体"/>
                <w:kern w:val="2"/>
                <w:sz w:val="21"/>
                <w:szCs w:val="21"/>
                <w:lang w:val="en-US" w:eastAsia="zh-CN" w:bidi="ar"/>
              </w:rPr>
              <w:t>需进行赎回申请，在每个投资周期结束日由系统自动为所有持仓投资者发起全部持有份额赎回申请，上一投资周期投资者的所有持仓份额不会进入下一个投资周期）</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确认日如遇非〖</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〗，则顺延至〖下一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.工作时间为每个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上午〖9:00〗至下午〖17:00〗。确认日如遇非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3.认购/开放期内提交的交易申请，在理财计划成立日/确认日前一日下午</w:t>
            </w:r>
            <w:r>
              <w:rPr>
                <w:rFonts w:hint="eastAsia" w:ascii="宋体" w:hAnsi="宋体" w:cs="宋体"/>
                <w:color w:val="000000"/>
                <w:sz w:val="21"/>
                <w:szCs w:val="21"/>
                <w:highlight w:val="none"/>
              </w:rPr>
              <w:t>〖17:00〗</w:t>
            </w:r>
            <w:r>
              <w:rPr>
                <w:rFonts w:hint="eastAsia" w:ascii="宋体" w:hAnsi="宋体" w:cs="宋体"/>
                <w:color w:val="000000"/>
                <w:kern w:val="0"/>
                <w:sz w:val="21"/>
                <w:szCs w:val="21"/>
                <w:highlight w:val="none"/>
                <w:lang w:val="en-US" w:eastAsia="zh-CN"/>
              </w:rPr>
              <w:t>之前可以撤单。</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4.上述交易安排如有调整，请以管理人公告为准。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5.如投资者在一个投资周期开放期内未提出赎回申请，则该投资周期终止后，投资者的理财资金继续进入下一个投资周期进行理财运作。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cs="宋体"/>
                <w:color w:val="000000"/>
                <w:sz w:val="21"/>
                <w:szCs w:val="21"/>
                <w:highlight w:val="none"/>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rPr>
            </w:pPr>
            <w:r>
              <w:rPr>
                <w:rFonts w:hint="eastAsia" w:ascii="宋体" w:hAnsi="宋体" w:cs="宋体"/>
                <w:color w:val="000000"/>
                <w:sz w:val="21"/>
                <w:szCs w:val="21"/>
                <w:highlight w:val="none"/>
                <w:lang w:val="en-US" w:eastAsia="zh-CN"/>
              </w:rPr>
              <w:t>1.单户持有份额</w:t>
            </w:r>
            <w:r>
              <w:rPr>
                <w:rFonts w:hint="eastAsia" w:ascii="宋体" w:hAnsi="宋体" w:cs="宋体"/>
                <w:color w:val="000000"/>
                <w:sz w:val="21"/>
                <w:szCs w:val="21"/>
                <w:highlight w:val="none"/>
              </w:rPr>
              <w:t>〖</w:t>
            </w:r>
            <w:r>
              <w:rPr>
                <w:rFonts w:hint="eastAsia"/>
                <w:color w:val="000000"/>
                <w:lang w:eastAsia="zh-CN"/>
              </w:rPr>
              <w:t>b</w:t>
            </w:r>
            <w:r>
              <w:rPr>
                <w:rFonts w:hint="eastAsia" w:ascii="宋体" w:hAnsi="宋体" w:cs="宋体"/>
                <w:color w:val="000000"/>
                <w:sz w:val="21"/>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a.可以超过理财计划总份额的50%，但理财计划不得向个人投资者公开销售。</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b.不得超过理财计划总份额的50%。</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kern w:val="2"/>
                <w:sz w:val="21"/>
                <w:szCs w:val="21"/>
                <w:highlight w:val="none"/>
                <w:lang w:val="en-US" w:eastAsia="zh-CN" w:bidi="ar-SA"/>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kern w:val="2"/>
                <w:sz w:val="21"/>
                <w:szCs w:val="21"/>
                <w:highlight w:val="none"/>
                <w:lang w:val="en-US" w:eastAsia="zh-CN" w:bidi="ar-SA"/>
              </w:rPr>
              <w:t>〖A份额〗单户持有上限为〖1〗亿元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〖B份额〗单户持有上限为〖1〗亿元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〖H份额〗单户持有上限为〖1〗亿元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〖W份额〗单户持有上限为〖1〗亿元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〖ZA份额〗单户持有上限为〖1〗亿元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〖ZM份额〗单户持有上限为〖1〗亿元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bCs/>
                <w:sz w:val="21"/>
                <w:szCs w:val="21"/>
                <w:highlight w:val="none"/>
              </w:rPr>
              <w:t>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的单位净值。申购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的单位净值。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理财计划总份额，单位净值</w:t>
            </w:r>
            <w:r>
              <w:rPr>
                <w:rFonts w:hint="eastAsia" w:ascii="宋体" w:hAnsi="宋体" w:cs="宋体"/>
                <w:sz w:val="21"/>
                <w:szCs w:val="21"/>
                <w:highlight w:val="none"/>
              </w:rPr>
              <w:t>〖</w:t>
            </w:r>
            <w:r>
              <w:rPr>
                <w:rFonts w:hint="eastAsia" w:ascii="宋体" w:hAnsi="宋体" w:cs="宋体"/>
                <w:color w:val="000000"/>
                <w:sz w:val="21"/>
                <w:szCs w:val="21"/>
                <w:highlight w:val="none"/>
              </w:rPr>
              <w:t>保留小数点后四位</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四位后去尾</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理财计划总净值=理财计划认购总额+理财计划所获总收益-理财计划总费用（包括但不限于</w:t>
            </w:r>
            <w:r>
              <w:rPr>
                <w:rFonts w:hint="eastAsia" w:ascii="宋体" w:hAnsi="宋体" w:cs="宋体"/>
                <w:color w:val="000000"/>
                <w:sz w:val="21"/>
                <w:szCs w:val="21"/>
                <w:highlight w:val="none"/>
                <w:lang w:val="en-US" w:eastAsia="zh-CN"/>
              </w:rPr>
              <w:t>固定</w:t>
            </w:r>
            <w:r>
              <w:rPr>
                <w:rFonts w:hint="eastAsia" w:ascii="宋体" w:hAnsi="宋体" w:cs="宋体"/>
                <w:color w:val="000000"/>
                <w:sz w:val="21"/>
                <w:szCs w:val="21"/>
                <w:highlight w:val="none"/>
              </w:rPr>
              <w:t>管理费、托管费、</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lang w:val="en-US" w:eastAsia="zh-CN"/>
              </w:rPr>
              <w:t>浮动管理费（如有）</w:t>
            </w:r>
            <w:r>
              <w:rPr>
                <w:rFonts w:hint="eastAsia" w:ascii="宋体" w:hAnsi="宋体" w:cs="宋体"/>
                <w:color w:val="000000"/>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1.赎回资金确认后，最快</w:t>
            </w:r>
            <w:r>
              <w:rPr>
                <w:rFonts w:hint="eastAsia" w:ascii="宋体" w:hAnsi="宋体" w:eastAsia="宋体" w:cs="宋体"/>
                <w:color w:val="000000"/>
                <w:kern w:val="2"/>
                <w:sz w:val="21"/>
                <w:szCs w:val="21"/>
                <w:highlight w:val="none"/>
                <w:lang w:val="en-US" w:eastAsia="zh-CN" w:bidi="ar-SA"/>
              </w:rPr>
              <w:t>〖确认日当日〗</w:t>
            </w:r>
            <w:r>
              <w:rPr>
                <w:rFonts w:hint="eastAsia" w:ascii="宋体" w:hAnsi="宋体" w:cs="宋体"/>
                <w:color w:val="000000"/>
                <w:sz w:val="21"/>
                <w:szCs w:val="21"/>
                <w:highlight w:val="none"/>
              </w:rPr>
              <w:t>，最晚</w:t>
            </w:r>
            <w:r>
              <w:rPr>
                <w:rFonts w:hint="eastAsia" w:ascii="宋体" w:hAnsi="宋体" w:eastAsia="宋体" w:cs="宋体"/>
                <w:color w:val="000000"/>
                <w:kern w:val="2"/>
                <w:sz w:val="21"/>
                <w:szCs w:val="21"/>
                <w:highlight w:val="none"/>
                <w:lang w:val="en-US" w:eastAsia="zh-CN" w:bidi="ar-SA"/>
              </w:rPr>
              <w:t>确认日后〖2〗个〖工作日〗内</w:t>
            </w:r>
            <w:r>
              <w:rPr>
                <w:rFonts w:hint="eastAsia" w:ascii="宋体" w:hAnsi="宋体" w:cs="宋体"/>
                <w:color w:val="000000"/>
                <w:sz w:val="21"/>
                <w:szCs w:val="21"/>
                <w:highlight w:val="none"/>
              </w:rPr>
              <w:t>（遇节假日顺延）支付。如遇资金在途或法定工作日调整，实际资金到账日以公告为准。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 w:val="21"/>
                <w:szCs w:val="21"/>
                <w:highlight w:val="none"/>
              </w:rPr>
            </w:pPr>
            <w:r>
              <w:rPr>
                <w:rFonts w:hint="eastAsia" w:ascii="宋体" w:hAnsi="宋体" w:cs="宋体"/>
                <w:color w:val="000000"/>
                <w:sz w:val="21"/>
                <w:szCs w:val="21"/>
                <w:highlight w:val="none"/>
              </w:rPr>
              <w:t>2.理财计划到期</w:t>
            </w:r>
            <w:r>
              <w:rPr>
                <w:rFonts w:hint="eastAsia" w:ascii="宋体" w:hAnsi="宋体" w:cs="宋体"/>
                <w:color w:val="000000"/>
                <w:sz w:val="21"/>
                <w:szCs w:val="21"/>
                <w:highlight w:val="none"/>
                <w:lang w:eastAsia="zh-CN"/>
              </w:rPr>
              <w:t>确认</w:t>
            </w:r>
            <w:r>
              <w:rPr>
                <w:rFonts w:hint="eastAsia" w:ascii="宋体" w:hAnsi="宋体" w:cs="宋体"/>
                <w:color w:val="000000"/>
                <w:sz w:val="21"/>
                <w:szCs w:val="21"/>
                <w:highlight w:val="none"/>
              </w:rPr>
              <w:t>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 w:val="21"/>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 w:val="21"/>
                <w:szCs w:val="21"/>
                <w:highlight w:val="none"/>
              </w:rPr>
              <w:t>内（遇节假日顺延）支付。如遇资金在途或法定工作日调整，实际资金到账日以公告为准。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 w:val="21"/>
                <w:szCs w:val="21"/>
                <w:highlight w:val="none"/>
              </w:rPr>
            </w:pPr>
            <w:r>
              <w:rPr>
                <w:rFonts w:hint="eastAsia" w:ascii="宋体" w:hAnsi="宋体" w:cs="宋体"/>
                <w:color w:val="000000"/>
                <w:sz w:val="21"/>
                <w:szCs w:val="21"/>
                <w:highlight w:val="none"/>
              </w:rPr>
              <w:t>在满足收益分配基准日理财计划份额净值大于1元的情况下，管理人将</w:t>
            </w:r>
            <w:r>
              <w:rPr>
                <w:rFonts w:hint="eastAsia" w:ascii="宋体" w:hAnsi="宋体" w:cs="宋体"/>
                <w:sz w:val="21"/>
                <w:szCs w:val="21"/>
                <w:highlight w:val="none"/>
              </w:rPr>
              <w:t>〖</w:t>
            </w:r>
            <w:r>
              <w:rPr>
                <w:rFonts w:hint="eastAsia" w:ascii="宋体" w:hAnsi="宋体" w:cs="宋体"/>
                <w:color w:val="000000"/>
                <w:sz w:val="21"/>
                <w:szCs w:val="21"/>
                <w:highlight w:val="none"/>
                <w:lang w:eastAsia="zh-CN"/>
              </w:rPr>
              <w:t>不</w:t>
            </w:r>
            <w:r>
              <w:rPr>
                <w:rFonts w:hint="eastAsia" w:ascii="宋体" w:hAnsi="宋体" w:cs="宋体"/>
                <w:color w:val="000000"/>
                <w:sz w:val="21"/>
                <w:szCs w:val="21"/>
                <w:highlight w:val="none"/>
              </w:rPr>
              <w:t>定期</w:t>
            </w:r>
            <w:r>
              <w:rPr>
                <w:rFonts w:hint="eastAsia" w:ascii="宋体" w:hAnsi="宋体" w:cs="宋体"/>
                <w:sz w:val="21"/>
                <w:szCs w:val="21"/>
                <w:highlight w:val="none"/>
              </w:rPr>
              <w:t>〗</w:t>
            </w:r>
            <w:r>
              <w:rPr>
                <w:rFonts w:hint="eastAsia" w:ascii="宋体" w:hAnsi="宋体" w:cs="宋体"/>
                <w:color w:val="000000"/>
                <w:sz w:val="21"/>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业绩比较基准</w:t>
            </w:r>
          </w:p>
        </w:tc>
        <w:tc>
          <w:tcPr>
            <w:tcW w:w="7185" w:type="dxa"/>
            <w:noWrap w:val="0"/>
            <w:vAlign w:val="center"/>
          </w:tcPr>
          <w:p>
            <w:pPr>
              <w:pageBreakBefore w:val="0"/>
              <w:spacing w:before="0" w:after="0" w:line="360" w:lineRule="auto"/>
              <w:ind w:left="0" w:right="0" w:hanging="1"/>
              <w:jc w:val="left"/>
              <w:textAlignment w:val="auto"/>
            </w:pPr>
            <w:r>
              <w:rPr>
                <w:rFonts w:ascii="宋体" w:hAnsi="宋体" w:eastAsia="宋体" w:cs="宋体"/>
                <w:b/>
                <w:i w:val="0"/>
                <w:caps w:val="0"/>
                <w:strike w:val="0"/>
                <w:dstrike w:val="0"/>
                <w:shadow w:val="0"/>
                <w:emboss w:val="0"/>
                <w:imprint w:val="0"/>
                <w:color w:val="auto"/>
                <w:kern w:val="2"/>
                <w:position w:val="-1"/>
                <w:sz w:val="21"/>
                <w:u w:val="none"/>
                <w:vertAlign w:val="baseline"/>
              </w:rPr>
              <w:t>本理财计划〖A份额〗业绩比较基准为〖中国人民银行公布的1年期定期存款利率+0.1%〗（年化）。</w:t>
            </w:r>
            <w:r>
              <w:rPr>
                <w:rFonts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auto"/>
                <w:kern w:val="2"/>
                <w:position w:val="-1"/>
                <w:sz w:val="21"/>
                <w:u w:val="none"/>
                <w:vertAlign w:val="baseline"/>
              </w:rPr>
              <w:t>本理财计划〖B份额〗业绩比较基准为〖中国人民银行公布的1年期定期存款利率+0.1%〗（年化）。</w:t>
            </w:r>
            <w:r>
              <w:rPr>
                <w:rFonts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auto"/>
                <w:kern w:val="2"/>
                <w:position w:val="-1"/>
                <w:sz w:val="21"/>
                <w:u w:val="none"/>
                <w:vertAlign w:val="baseline"/>
              </w:rPr>
              <w:t>本理财计划〖H份额〗业绩比较基准为〖中国人民银行公布的1年期定期存款利率+0.1%〗（年化）。</w:t>
            </w:r>
            <w:r>
              <w:rPr>
                <w:rFonts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auto"/>
                <w:kern w:val="2"/>
                <w:position w:val="-1"/>
                <w:sz w:val="21"/>
                <w:u w:val="none"/>
                <w:vertAlign w:val="baseline"/>
              </w:rPr>
              <w:t>本理财计划〖W份额〗业绩比较基准为〖中国人民银行公布的1年期定期存款利率+0.1%〗（年化）。</w:t>
            </w:r>
            <w:r>
              <w:rPr>
                <w:rFonts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auto"/>
                <w:kern w:val="2"/>
                <w:position w:val="-1"/>
                <w:sz w:val="21"/>
                <w:u w:val="none"/>
                <w:vertAlign w:val="baseline"/>
              </w:rPr>
              <w:t>本理财计划〖ZA份额〗业绩比较基准为〖中国人民银行公布的1年期定期存款利率+0.1%〗（年化）。</w:t>
            </w:r>
            <w:r>
              <w:rPr>
                <w:rFonts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auto"/>
                <w:kern w:val="2"/>
                <w:position w:val="-1"/>
                <w:sz w:val="21"/>
                <w:u w:val="none"/>
                <w:vertAlign w:val="baseline"/>
              </w:rPr>
              <w:t>本理财计划〖ZM份额〗业绩比较基准为〖中国人民银行公布的1年期定期存款利率+0.1%〗（年化）。</w:t>
            </w:r>
          </w:p>
          <w:p>
            <w:pPr>
              <w:keepNext w:val="0"/>
              <w:keepLines w:val="0"/>
              <w:widowControl w:val="0"/>
              <w:suppressLineNumbers w:val="0"/>
              <w:spacing w:before="0" w:beforeAutospacing="0" w:after="0" w:afterAutospacing="0" w:line="360" w:lineRule="auto"/>
              <w:ind w:left="0" w:right="0"/>
              <w:jc w:val="both"/>
              <w:rPr>
                <w:rFonts w:hint="eastAsia" w:ascii="宋体" w:hAnsi="宋体" w:cs="宋体"/>
                <w:b/>
                <w:bCs/>
                <w:color w:val="FF0000"/>
                <w:sz w:val="21"/>
                <w:szCs w:val="21"/>
                <w:highlight w:val="none"/>
              </w:rPr>
            </w:pPr>
            <w:r>
              <w:rPr>
                <w:rFonts w:hint="eastAsia" w:ascii="宋体" w:hAnsi="宋体" w:cs="宋体"/>
                <w:b/>
                <w:bCs/>
                <w:color w:val="000000"/>
                <w:sz w:val="21"/>
                <w:szCs w:val="21"/>
                <w:highlight w:val="none"/>
              </w:rPr>
              <w:t>业绩基准测算依据：</w:t>
            </w:r>
            <w:r>
              <w:rPr>
                <w:rFonts w:hint="eastAsia" w:ascii="宋体" w:hAnsi="宋体" w:eastAsia="宋体" w:cs="宋体"/>
                <w:b/>
                <w:bCs/>
                <w:kern w:val="2"/>
                <w:sz w:val="21"/>
                <w:szCs w:val="21"/>
                <w:lang w:val="en-US" w:eastAsia="zh-CN" w:bidi="ar"/>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r>
              <w:rPr>
                <w:rFonts w:hint="eastAsia" w:ascii="宋体" w:hAnsi="宋体" w:cs="宋体"/>
                <w:b/>
                <w:bCs/>
                <w:color w:val="000000"/>
                <w:sz w:val="21"/>
                <w:szCs w:val="21"/>
                <w:highlight w:val="none"/>
              </w:rPr>
              <w:t>。</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 w:val="21"/>
                <w:szCs w:val="21"/>
                <w:highlight w:val="none"/>
              </w:rPr>
            </w:pPr>
            <w:r>
              <w:rPr>
                <w:rFonts w:hint="eastAsia" w:ascii="宋体" w:hAnsi="宋体" w:cs="宋体"/>
                <w:sz w:val="21"/>
                <w:szCs w:val="21"/>
                <w:highlight w:val="none"/>
              </w:rPr>
              <w:t>管理人有权根据市场情况及</w:t>
            </w:r>
            <w:r>
              <w:rPr>
                <w:rFonts w:hint="eastAsia" w:ascii="宋体" w:hAnsi="宋体" w:cs="宋体"/>
                <w:sz w:val="21"/>
                <w:szCs w:val="21"/>
                <w:highlight w:val="none"/>
                <w:lang w:eastAsia="zh-CN"/>
              </w:rPr>
              <w:t>理财计划</w:t>
            </w:r>
            <w:r>
              <w:rPr>
                <w:rFonts w:hint="eastAsia" w:ascii="宋体" w:hAnsi="宋体" w:cs="宋体"/>
                <w:sz w:val="21"/>
                <w:szCs w:val="21"/>
                <w:highlight w:val="none"/>
              </w:rPr>
              <w:t>运作情况调整业绩基准，并至少于新业绩基准启用前</w:t>
            </w:r>
            <w:r>
              <w:rPr>
                <w:rFonts w:hint="eastAsia" w:ascii="宋体" w:hAnsi="宋体" w:cs="宋体"/>
                <w:kern w:val="0"/>
                <w:sz w:val="21"/>
                <w:szCs w:val="21"/>
                <w:highlight w:val="none"/>
              </w:rPr>
              <w:t>〖</w:t>
            </w:r>
            <w:r>
              <w:rPr>
                <w:rFonts w:hint="eastAsia" w:ascii="宋体" w:hAnsi="宋体" w:cs="宋体"/>
                <w:color w:val="000000"/>
                <w:kern w:val="0"/>
                <w:sz w:val="21"/>
                <w:szCs w:val="21"/>
                <w:highlight w:val="none"/>
                <w:lang w:val="en-US" w:eastAsia="zh-CN"/>
              </w:rPr>
              <w:t>2</w:t>
            </w:r>
            <w:r>
              <w:rPr>
                <w:rFonts w:hint="eastAsia" w:ascii="宋体" w:hAnsi="宋体" w:cs="宋体"/>
                <w:kern w:val="0"/>
                <w:sz w:val="21"/>
                <w:szCs w:val="21"/>
                <w:highlight w:val="none"/>
              </w:rPr>
              <w:t>〗</w:t>
            </w:r>
            <w:r>
              <w:rPr>
                <w:rFonts w:hint="eastAsia" w:ascii="宋体" w:hAnsi="宋体" w:cs="宋体"/>
                <w:sz w:val="21"/>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
                <w:sz w:val="21"/>
                <w:szCs w:val="21"/>
                <w:highlight w:val="none"/>
              </w:rPr>
              <w:t>本理财计划为净值型理财产品，其业绩表现将随市场波动具有不确定性。本公司提醒投资者关注，业绩比较基准</w:t>
            </w:r>
            <w:r>
              <w:rPr>
                <w:rFonts w:hint="eastAsia" w:ascii="宋体" w:hAnsi="宋体" w:cs="宋体"/>
                <w:b/>
                <w:sz w:val="21"/>
                <w:szCs w:val="21"/>
                <w:highlight w:val="none"/>
                <w:lang w:eastAsia="zh-CN"/>
              </w:rPr>
              <w:t>不是预期收益率，</w:t>
            </w:r>
            <w:r>
              <w:rPr>
                <w:rFonts w:hint="eastAsia" w:ascii="宋体" w:hAnsi="宋体" w:cs="宋体"/>
                <w:b/>
                <w:sz w:val="21"/>
                <w:szCs w:val="21"/>
                <w:highlight w:val="none"/>
              </w:rPr>
              <w:t>并不代表</w:t>
            </w:r>
            <w:r>
              <w:rPr>
                <w:rFonts w:hint="eastAsia" w:ascii="宋体" w:hAnsi="宋体" w:cs="宋体"/>
                <w:b/>
                <w:sz w:val="21"/>
                <w:szCs w:val="21"/>
                <w:highlight w:val="none"/>
                <w:lang w:eastAsia="zh-CN"/>
              </w:rPr>
              <w:t>理财计划的未来表现和</w:t>
            </w:r>
            <w:r>
              <w:rPr>
                <w:rFonts w:hint="eastAsia" w:ascii="宋体" w:hAnsi="宋体" w:cs="宋体"/>
                <w:b/>
                <w:sz w:val="21"/>
                <w:szCs w:val="21"/>
                <w:highlight w:val="none"/>
              </w:rPr>
              <w:t>实际收益率</w:t>
            </w:r>
            <w:r>
              <w:rPr>
                <w:rFonts w:hint="eastAsia" w:ascii="宋体" w:hAnsi="宋体" w:cs="宋体"/>
                <w:b/>
                <w:sz w:val="21"/>
                <w:szCs w:val="21"/>
                <w:highlight w:val="none"/>
                <w:lang w:eastAsia="zh-CN"/>
              </w:rPr>
              <w:t>，不构成对理财计划收益的承诺</w:t>
            </w:r>
            <w:r>
              <w:rPr>
                <w:rFonts w:hint="eastAsia" w:ascii="宋体" w:hAnsi="宋体" w:cs="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〖H份额〗收取年化〖0.30%〗的销售服务费, 〖W份额〗收取年化〖0.4%〗的销售服务费, 〖ZA份额〗收取年化〖0.30%〗的销售服务费, 〖ZM份额〗收取年化〖0.30%〗的销售服务费。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lang w:eastAsia="zh-CN"/>
              </w:rPr>
              <w:t>%</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〖A份额〗收取年化〖0.30%〗的固定管理费, 〖B份额〗收取年化〖0.30%〗的固定管理费, 〖H份额〗收取年化〖0.30%〗的固定管理费, 〖W份额〗收取年化〖0.2%〗的固定管理费, 〖ZA份额〗收取年化〖0.30%〗的固定管理费, 〖ZM份额〗收取年化〖0.30%〗的固定管理费。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B份额）投资周期的折合年化收益率超过〖2.35%〗的部分，管理人提取〖50%〗作为浮动管理费；〖B份额〗投资周期的折合年化收益率超过〖2.45%〗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kern w:val="0"/>
                <w:sz w:val="21"/>
                <w:szCs w:val="21"/>
                <w:highlight w:val="none"/>
                <w:lang w:eastAsia="zh-CN"/>
              </w:rPr>
              <w:t>全部或部分</w:t>
            </w:r>
            <w:r>
              <w:rPr>
                <w:rFonts w:hint="eastAsia" w:ascii="宋体" w:hAnsi="宋体" w:cs="宋体"/>
                <w:b/>
                <w:color w:val="000000"/>
                <w:kern w:val="0"/>
                <w:sz w:val="21"/>
                <w:szCs w:val="21"/>
                <w:highlight w:val="none"/>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投资者在理财期限内不能提前</w:t>
            </w:r>
            <w:r>
              <w:rPr>
                <w:rFonts w:hint="eastAsia" w:ascii="宋体" w:hAnsi="宋体" w:cs="宋体"/>
                <w:b/>
                <w:color w:val="000000"/>
                <w:kern w:val="0"/>
                <w:sz w:val="21"/>
                <w:szCs w:val="21"/>
                <w:highlight w:val="none"/>
                <w:lang w:eastAsia="zh-CN"/>
              </w:rPr>
              <w:t>赎回</w:t>
            </w: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ind w:firstLine="482" w:firstLineChars="200"/>
        <w:outlineLvl w:val="9"/>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auto"/>
          <w:kern w:val="2"/>
          <w:position w:val="-1"/>
          <w:sz w:val="24"/>
          <w:u w:val="none"/>
          <w:vertAlign w:val="baseline"/>
        </w:rPr>
        <w:t>1. 固定收益类资产：包括但不限于各类债券、存款、货币市场金融工具、债券基金、质押式及买断式回购，其他符合监管要求的固定收益类资产及资产管理产品。</w:t>
      </w:r>
      <w:r>
        <w:rPr>
          <w:rFonts w:ascii="宋体" w:hAnsi="宋体" w:eastAsia="宋体" w:cs="宋体"/>
          <w:b w:val="0"/>
          <w:i w:val="0"/>
          <w:caps w:val="0"/>
          <w:strike w:val="0"/>
          <w:dstrike w:val="0"/>
          <w:shadow w:val="0"/>
          <w:emboss w:val="0"/>
          <w:imprint w:val="0"/>
          <w:color w:val="auto"/>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4"/>
          <w:u w:val="none"/>
          <w:vertAlign w:val="baseline"/>
        </w:rPr>
        <w:t xml:space="preserve">    2. 权益类资产：包括国内发行上市优先股、上市公司股票、定向增发、员工持股计划、以及其他符合监管要求的权益类资产及资产管理产品（不包括未上市企业股权）。</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eastAsia="zh-CN"/>
        </w:rPr>
        <w:t>总</w:t>
      </w:r>
      <w:r>
        <w:rPr>
          <w:rFonts w:hint="eastAsia" w:ascii="宋体" w:hAnsi="宋体" w:cs="宋体"/>
          <w:bCs/>
          <w:sz w:val="24"/>
          <w:highlight w:val="none"/>
        </w:rPr>
        <w:t>资产的配置比例如下：</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jc w:val="center"/>
              <w:textAlignment w:val="center"/>
            </w:pPr>
          </w:p>
        </w:tc>
        <w:tc>
          <w:tcPr>
            <w:tcW w:w="4500" w:type="dxa"/>
            <w:vAlign w:val="center"/>
          </w:tcPr>
          <w:p>
            <w:pPr>
              <w:jc w:val="center"/>
              <w:textAlignment w:val="center"/>
            </w:pPr>
            <w:r>
              <w:rPr>
                <w:rFonts w:ascii="宋体" w:hAnsi="宋体" w:eastAsia="宋体" w:cs="宋体"/>
              </w:rPr>
              <w:t>投资资产</w:t>
            </w:r>
          </w:p>
        </w:tc>
        <w:tc>
          <w:tcPr>
            <w:tcW w:w="2000" w:type="dxa"/>
            <w:vAlign w:val="center"/>
          </w:tcPr>
          <w:p>
            <w:pPr>
              <w:jc w:val="center"/>
              <w:textAlignment w:val="center"/>
            </w:pPr>
            <w:r>
              <w:rPr>
                <w:rFonts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restart"/>
            <w:vAlign w:val="center"/>
          </w:tcPr>
          <w:p>
            <w:pPr>
              <w:jc w:val="center"/>
              <w:textAlignment w:val="center"/>
            </w:pPr>
            <w:r>
              <w:rPr>
                <w:rFonts w:ascii="宋体" w:hAnsi="宋体" w:eastAsia="宋体" w:cs="宋体"/>
              </w:rPr>
              <w:t>大类资产类型</w:t>
            </w:r>
          </w:p>
        </w:tc>
        <w:tc>
          <w:tcPr>
            <w:tcW w:w="4500" w:type="dxa"/>
            <w:vAlign w:val="center"/>
          </w:tcPr>
          <w:p>
            <w:pPr>
              <w:jc w:val="center"/>
              <w:textAlignment w:val="center"/>
            </w:pPr>
            <w:r>
              <w:rPr>
                <w:rFonts w:ascii="宋体" w:hAnsi="宋体" w:eastAsia="宋体" w:cs="宋体"/>
              </w:rPr>
              <w:t>固定收益类资产</w:t>
            </w:r>
          </w:p>
        </w:tc>
        <w:tc>
          <w:tcPr>
            <w:tcW w:w="2000" w:type="dxa"/>
            <w:vAlign w:val="center"/>
          </w:tcPr>
          <w:p>
            <w:pPr>
              <w:jc w:val="center"/>
              <w:textAlignment w:val="center"/>
            </w:pPr>
            <w:r>
              <w:rPr>
                <w:rFonts w:ascii="宋体" w:hAnsi="宋体" w:eastAsia="宋体" w:cs="宋体"/>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jc w:val="center"/>
              <w:textAlignment w:val="center"/>
            </w:pPr>
            <w:r>
              <w:rPr>
                <w:rFonts w:ascii="宋体" w:hAnsi="宋体" w:eastAsia="宋体" w:cs="宋体"/>
              </w:rPr>
              <w:t>大类资产类型</w:t>
            </w:r>
          </w:p>
        </w:tc>
        <w:tc>
          <w:tcPr>
            <w:tcW w:w="4500" w:type="dxa"/>
            <w:vAlign w:val="center"/>
          </w:tcPr>
          <w:p>
            <w:pPr>
              <w:jc w:val="center"/>
              <w:textAlignment w:val="center"/>
            </w:pPr>
            <w:r>
              <w:rPr>
                <w:rFonts w:ascii="宋体" w:hAnsi="宋体" w:eastAsia="宋体" w:cs="宋体"/>
              </w:rPr>
              <w:t>权益类资产</w:t>
            </w:r>
          </w:p>
        </w:tc>
        <w:tc>
          <w:tcPr>
            <w:tcW w:w="2000" w:type="dxa"/>
            <w:vAlign w:val="center"/>
          </w:tcPr>
          <w:p>
            <w:pPr>
              <w:jc w:val="center"/>
              <w:textAlignment w:val="center"/>
            </w:pPr>
            <w:r>
              <w:rPr>
                <w:rFonts w:ascii="宋体" w:hAnsi="宋体" w:eastAsia="宋体" w:cs="宋体"/>
              </w:rPr>
              <w:t>0%-20%</w:t>
            </w:r>
          </w:p>
        </w:tc>
      </w:tr>
    </w:tbl>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本理财计划特殊资产类型为基于大类资产类型项下的进一步细化分类，其配置比例不得超过大类资产配置比例。</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在</w:t>
      </w:r>
      <w:r>
        <w:rPr>
          <w:rFonts w:hint="eastAsia" w:ascii="宋体" w:hAnsi="宋体" w:cs="宋体"/>
          <w:bCs/>
          <w:color w:val="auto"/>
          <w:kern w:val="2"/>
          <w:highlight w:val="none"/>
        </w:rPr>
        <w:t>理财计划存续期间如遇市场变化导致各类投资品投资比例暂时超出以上范围，为保护投资者利益，管理人将在流动性受限资产可出售、可转让或者恢复交易的15个交易日内调整至上述比例范围。</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20"/>
        <w:numPr>
          <w:ilvl w:val="0"/>
          <w:numId w:val="21"/>
        </w:numPr>
        <w:adjustRightInd/>
        <w:spacing w:line="360" w:lineRule="auto"/>
        <w:ind w:firstLine="458" w:firstLineChars="190"/>
        <w:rPr>
          <w:rFonts w:hint="eastAsia" w:ascii="宋体" w:hAnsi="宋体" w:cs="宋体"/>
          <w:bCs/>
          <w:color w:val="auto"/>
          <w:kern w:val="2"/>
          <w:highlight w:val="none"/>
          <w:lang w:val="en-US" w:eastAsia="zh-CN"/>
        </w:rPr>
      </w:pPr>
      <w:r>
        <w:rPr>
          <w:rFonts w:hint="eastAsia" w:ascii="宋体" w:hAnsi="宋体" w:cs="宋体"/>
          <w:b/>
          <w:bCs w:val="0"/>
          <w:color w:val="000000"/>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bCs/>
          <w:color w:val="000000"/>
          <w:sz w:val="24"/>
          <w:highlight w:val="none"/>
        </w:rPr>
      </w:pPr>
      <w:r>
        <w:rPr>
          <w:rFonts w:hint="eastAsia" w:ascii="宋体" w:hAnsi="宋体" w:eastAsia="宋体" w:cs="宋体"/>
          <w:kern w:val="2"/>
          <w:sz w:val="24"/>
          <w:szCs w:val="24"/>
          <w:lang w:val="en-US" w:eastAsia="zh-CN" w:bidi="ar"/>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hAnsi="宋体" w:eastAsia="宋体" w:cs="宋体"/>
          <w:b/>
          <w:bCs/>
          <w:kern w:val="2"/>
          <w:sz w:val="24"/>
          <w:szCs w:val="24"/>
          <w:lang w:val="en-US" w:eastAsia="zh-CN" w:bidi="ar"/>
        </w:rPr>
        <w:t>本产品还可能根据市场行情，在监管政策允许的范围内，在适当的时机投资不高于理财产品总资产的</w:t>
      </w:r>
      <w:r>
        <w:rPr>
          <w:rFonts w:hint="eastAsia" w:ascii="宋体" w:hAnsi="Calibri" w:eastAsia="宋体" w:cs="宋体"/>
          <w:b/>
          <w:bCs/>
          <w:kern w:val="2"/>
          <w:sz w:val="24"/>
          <w:szCs w:val="24"/>
          <w:lang w:val="en-US" w:eastAsia="zh-CN" w:bidi="ar"/>
        </w:rPr>
        <w:t>20%的资金于其他资产</w:t>
      </w:r>
      <w:r>
        <w:rPr>
          <w:rFonts w:hint="eastAsia" w:ascii="宋体" w:hAnsi="宋体" w:cs="宋体"/>
          <w:bCs/>
          <w:color w:val="000000"/>
          <w:sz w:val="24"/>
          <w:highlight w:val="none"/>
        </w:rPr>
        <w:t>。</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val="0"/>
          <w:bCs/>
          <w:sz w:val="24"/>
          <w:highlight w:val="none"/>
          <w:lang w:val="en-US" w:eastAsia="zh-CN"/>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3"/>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fldChar w:fldCharType="begin"/>
      </w:r>
      <w:r>
        <w:instrText xml:space="preserve"> HYPERLINK "https://baike.baidu.com/item/%E8%AF%81%E5%88%B8%E6%8A%95%E8%B5%84%E5%9F%BA%E9%87%91/3746" \t "https://baike.baidu.com/item/%E5%95%86%E4%B8%9A%E9%93%B6%E8%A1%8C%E7%90%86%E8%B4%A2%E4%B8%9A%E5%8A%A1%E7%9B%91%E7%9D%A3%E7%AE%A1%E7%90%86%E5%8A%9E%E6%B3%95/_blank" </w:instrText>
      </w:r>
      <w: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管理人</w:t>
      </w:r>
      <w:r>
        <w:rPr>
          <w:rFonts w:hint="eastAsia" w:ascii="宋体" w:hAnsi="宋体" w:cs="宋体"/>
          <w:bCs/>
          <w:sz w:val="24"/>
          <w:highlight w:val="none"/>
        </w:rPr>
        <w:t>发行的全部</w:t>
      </w:r>
      <w:r>
        <w:rPr>
          <w:rFonts w:hint="eastAsia" w:ascii="宋体" w:hAnsi="宋体"/>
          <w:sz w:val="24"/>
          <w:highlight w:val="none"/>
        </w:rPr>
        <w:t>开放式公募</w:t>
      </w:r>
      <w:r>
        <w:rPr>
          <w:rFonts w:hint="eastAsia" w:ascii="宋体" w:hAnsi="宋体" w:cs="宋体"/>
          <w:bCs/>
          <w:sz w:val="24"/>
          <w:highlight w:val="none"/>
        </w:rPr>
        <w:t>理财计划</w:t>
      </w:r>
      <w:r>
        <w:rPr>
          <w:rFonts w:hint="eastAsia" w:ascii="宋体" w:hAnsi="宋体"/>
          <w:sz w:val="24"/>
          <w:highlight w:val="none"/>
        </w:rPr>
        <w:t>投资单一上市公司发行的股票,不得超过该上市公司可流通股票的15%。</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本理财计划投资的非标准化债权类资产到期日不得晚于理财计划最近一次开放日。</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本理财计划的总资产不得超过净资产的140%。</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流动性限制</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本理财计划直接投资于流动性受限资产的市值在开放日不得超过该理财计划资产净值的15%。</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本理财计划还应满足以下限制</w:t>
      </w:r>
      <w:r>
        <w:rPr>
          <w:rFonts w:hint="eastAsia" w:ascii="宋体" w:hAnsi="宋体" w:cs="宋体"/>
          <w:bCs/>
          <w:color w:val="000000"/>
          <w:sz w:val="24"/>
          <w:highlight w:val="none"/>
        </w:rPr>
        <w:t>【</w:t>
      </w:r>
      <w:r>
        <w:rPr>
          <w:rFonts w:hint="eastAsia" w:ascii="宋体" w:hAnsi="宋体" w:cs="宋体"/>
          <w:bCs/>
          <w:color w:val="000000"/>
          <w:sz w:val="24"/>
          <w:highlight w:val="none"/>
          <w:lang w:eastAsia="zh-CN"/>
        </w:rPr>
        <w:t>b</w:t>
      </w:r>
      <w:r>
        <w:rPr>
          <w:rFonts w:hint="eastAsia" w:ascii="宋体" w:hAnsi="宋体" w:cs="宋体"/>
          <w:bCs/>
          <w:color w:val="000000"/>
          <w:sz w:val="24"/>
          <w:highlight w:val="none"/>
        </w:rPr>
        <w:t>】</w:t>
      </w:r>
    </w:p>
    <w:p>
      <w:pPr>
        <w:numPr>
          <w:ilvl w:val="0"/>
          <w:numId w:val="26"/>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w:t>
      </w:r>
      <w:r>
        <w:rPr>
          <w:rFonts w:hint="eastAsia" w:ascii="宋体" w:hAnsi="宋体" w:cs="宋体"/>
          <w:bCs/>
          <w:color w:val="000000"/>
          <w:sz w:val="24"/>
          <w:highlight w:val="none"/>
        </w:rPr>
        <w:t>应当持有不低于该理财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资产净值5%的现金或者到期日在一年以内的国债、中央银行票据和政策性金融债券。</w:t>
      </w:r>
    </w:p>
    <w:p>
      <w:pPr>
        <w:numPr>
          <w:ilvl w:val="0"/>
          <w:numId w:val="26"/>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本理财计划应当在开放日及开放日前7个工作日内持有不低于该理财计划资产净值5%的现金或者到期日在一年以内的国债、中央银行票据和政策性金融债券。</w:t>
      </w:r>
    </w:p>
    <w:p>
      <w:pPr>
        <w:numPr>
          <w:ilvl w:val="0"/>
          <w:numId w:val="26"/>
        </w:numPr>
        <w:spacing w:line="360" w:lineRule="auto"/>
        <w:ind w:firstLine="720" w:firstLineChars="300"/>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本理财计划不存在活跃交易市场，并且需要采用估值技术确定公允价值的资产比例不得超过理财产品净资产50%以上。</w:t>
      </w:r>
    </w:p>
    <w:p>
      <w:pPr>
        <w:numPr>
          <w:ilvl w:val="0"/>
          <w:numId w:val="25"/>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在开放日前一工作日内，本理财计划7个工作日可变现资产的可变现价值应当不低于该理财计划资产净值的10%。</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fldChar w:fldCharType="begin"/>
      </w:r>
      <w:r>
        <w:instrText xml:space="preserve"> HYPERLINK "https://baike.baidu.com/item/%E8%B5%84%E4%BA%A7%E6%94%AF%E6%8C%81%E8%AF%81%E5%88%B8/8989161" \t "https://baike.baidu.com/item/%E5%95%86%E4%B8%9A%E9%93%B6%E8%A1%8C%E7%90%86%E8%B4%A2%E4%B8%9A%E5%8A%A1%E7%9B%91%E7%9D%A3%E7%AE%A1%E7%90%86%E5%8A%9E%E6%B3%95/_blank" </w:instrText>
      </w:r>
      <w: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ind w:left="0" w:leftChars="0" w:firstLine="482" w:firstLineChars="200"/>
        <w:jc w:val="left"/>
        <w:outlineLvl w:val="9"/>
        <w:rPr>
          <w:rFonts w:hint="eastAsia" w:ascii="宋体" w:hAnsi="宋体" w:cs="宋体"/>
          <w:b/>
          <w:bCs w:val="0"/>
          <w:sz w:val="24"/>
          <w:highlight w:val="none"/>
        </w:rPr>
      </w:pPr>
      <w:r>
        <w:rPr>
          <w:rFonts w:hint="eastAsia" w:ascii="宋体" w:hAnsi="宋体" w:cs="宋体"/>
          <w:b/>
          <w:bCs w:val="0"/>
          <w:sz w:val="24"/>
          <w:highlight w:val="none"/>
          <w:lang w:eastAsia="zh-CN"/>
        </w:rPr>
        <w:t>拟投资市场、资产的流动性风险评估</w:t>
      </w:r>
    </w:p>
    <w:p>
      <w:pPr>
        <w:numPr>
          <w:ilvl w:val="0"/>
          <w:numId w:val="0"/>
        </w:numPr>
        <w:spacing w:line="360" w:lineRule="auto"/>
        <w:ind w:firstLine="480" w:firstLineChars="20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3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托管人</w:t>
      </w:r>
    </w:p>
    <w:tbl>
      <w:tblPr>
        <w:tblStyle w:val="11"/>
        <w:tblW w:w="82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6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202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6255"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202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625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02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625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31"/>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销售机构</w:t>
      </w:r>
    </w:p>
    <w:tbl>
      <w:tblPr>
        <w:tblStyle w:val="11"/>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jc w:val="center"/>
            </w:pPr>
            <w:r>
              <w:t>销售机构信息</w:t>
            </w:r>
          </w:p>
        </w:tc>
        <w:tc>
          <w:tcPr>
            <w:tcW w:w="1600" w:type="dxa"/>
            <w:vMerge w:val="restart"/>
            <w:vAlign w:val="center"/>
          </w:tcPr>
          <w:p>
            <w:pPr>
              <w:jc w:val="center"/>
            </w:pPr>
            <w:r>
              <w:t>杭州银行股份有限公司</w:t>
            </w:r>
          </w:p>
        </w:tc>
        <w:tc>
          <w:tcPr>
            <w:tcW w:w="1200" w:type="dxa"/>
            <w:vAlign w:val="center"/>
          </w:tcPr>
          <w:p>
            <w:pPr>
              <w:jc w:val="left"/>
            </w:pPr>
            <w:r>
              <w:t>住所</w:t>
            </w:r>
          </w:p>
        </w:tc>
        <w:tc>
          <w:tcPr>
            <w:tcW w:w="3800" w:type="dxa"/>
            <w:vAlign w:val="center"/>
          </w:tcPr>
          <w:p>
            <w:pPr>
              <w:jc w:val="center"/>
            </w:pPr>
            <w: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杭银理财有限责任公司</w:t>
            </w:r>
          </w:p>
        </w:tc>
        <w:tc>
          <w:tcPr>
            <w:tcW w:w="1200" w:type="dxa"/>
            <w:vAlign w:val="center"/>
          </w:tcPr>
          <w:p>
            <w:pPr>
              <w:jc w:val="left"/>
            </w:pPr>
            <w:r>
              <w:t>住所</w:t>
            </w:r>
          </w:p>
        </w:tc>
        <w:tc>
          <w:tcPr>
            <w:tcW w:w="3800" w:type="dxa"/>
            <w:vAlign w:val="center"/>
          </w:tcPr>
          <w:p>
            <w:pPr>
              <w:jc w:val="center"/>
            </w:pPr>
            <w: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上海农村商业银行股份有限公司</w:t>
            </w:r>
          </w:p>
        </w:tc>
        <w:tc>
          <w:tcPr>
            <w:tcW w:w="1200" w:type="dxa"/>
            <w:vAlign w:val="center"/>
          </w:tcPr>
          <w:p>
            <w:pPr>
              <w:jc w:val="left"/>
            </w:pPr>
            <w:r>
              <w:t>住所</w:t>
            </w:r>
          </w:p>
        </w:tc>
        <w:tc>
          <w:tcPr>
            <w:tcW w:w="3800" w:type="dxa"/>
            <w:vAlign w:val="center"/>
          </w:tcPr>
          <w:p>
            <w:pPr>
              <w:jc w:val="center"/>
            </w:pPr>
            <w:r>
              <w:t>上海市黄浦区中山东二路70号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021-962999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东莞农村商业银行股份有限公司</w:t>
            </w:r>
          </w:p>
        </w:tc>
        <w:tc>
          <w:tcPr>
            <w:tcW w:w="1200" w:type="dxa"/>
            <w:vAlign w:val="center"/>
          </w:tcPr>
          <w:p>
            <w:pPr>
              <w:jc w:val="left"/>
            </w:pPr>
            <w:r>
              <w:t>住所</w:t>
            </w:r>
          </w:p>
        </w:tc>
        <w:tc>
          <w:tcPr>
            <w:tcW w:w="3800" w:type="dxa"/>
            <w:vAlign w:val="center"/>
          </w:tcPr>
          <w:p>
            <w:pPr>
              <w:jc w:val="center"/>
            </w:pPr>
            <w:r>
              <w:t>广东省东莞市东城街道鸿福东路2号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0769961122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东莞银行股份有限公司</w:t>
            </w:r>
          </w:p>
        </w:tc>
        <w:tc>
          <w:tcPr>
            <w:tcW w:w="1200" w:type="dxa"/>
            <w:vAlign w:val="center"/>
          </w:tcPr>
          <w:p>
            <w:pPr>
              <w:jc w:val="left"/>
            </w:pPr>
            <w:r>
              <w:t>住所</w:t>
            </w:r>
          </w:p>
        </w:tc>
        <w:tc>
          <w:tcPr>
            <w:tcW w:w="3800" w:type="dxa"/>
            <w:vAlign w:val="center"/>
          </w:tcPr>
          <w:p>
            <w:pPr>
              <w:jc w:val="center"/>
            </w:pPr>
            <w:r>
              <w:t>东莞市莞城区体育路21号</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0769-22865171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东营银行股份有限公司</w:t>
            </w:r>
          </w:p>
        </w:tc>
        <w:tc>
          <w:tcPr>
            <w:tcW w:w="1200" w:type="dxa"/>
            <w:vAlign w:val="center"/>
          </w:tcPr>
          <w:p>
            <w:pPr>
              <w:jc w:val="left"/>
            </w:pPr>
            <w:r>
              <w:t>住所</w:t>
            </w:r>
          </w:p>
        </w:tc>
        <w:tc>
          <w:tcPr>
            <w:tcW w:w="3800" w:type="dxa"/>
            <w:vAlign w:val="center"/>
          </w:tcPr>
          <w:p>
            <w:pPr>
              <w:jc w:val="center"/>
            </w:pPr>
            <w:r>
              <w:t>山东省东营市东营区府前大街87-1号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0546-7666871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中信百信银行股份有限公司</w:t>
            </w:r>
          </w:p>
        </w:tc>
        <w:tc>
          <w:tcPr>
            <w:tcW w:w="1200" w:type="dxa"/>
            <w:vAlign w:val="center"/>
          </w:tcPr>
          <w:p>
            <w:pPr>
              <w:jc w:val="left"/>
            </w:pPr>
            <w:r>
              <w:t>住所</w:t>
            </w:r>
          </w:p>
        </w:tc>
        <w:tc>
          <w:tcPr>
            <w:tcW w:w="3800" w:type="dxa"/>
            <w:vAlign w:val="center"/>
          </w:tcPr>
          <w:p>
            <w:pPr>
              <w:jc w:val="center"/>
            </w:pPr>
            <w:r>
              <w:t>北京市朝阳区安定路5号院3号楼8层</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956186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中邮邮惠万家银行有限责任公司</w:t>
            </w:r>
          </w:p>
        </w:tc>
        <w:tc>
          <w:tcPr>
            <w:tcW w:w="1200" w:type="dxa"/>
            <w:vAlign w:val="center"/>
          </w:tcPr>
          <w:p>
            <w:pPr>
              <w:jc w:val="left"/>
            </w:pPr>
            <w:r>
              <w:t>住所</w:t>
            </w:r>
          </w:p>
        </w:tc>
        <w:tc>
          <w:tcPr>
            <w:tcW w:w="3800" w:type="dxa"/>
            <w:vAlign w:val="center"/>
          </w:tcPr>
          <w:p>
            <w:pPr>
              <w:jc w:val="center"/>
            </w:pPr>
            <w:r>
              <w:t>上海市虹口区东大名路1080号25层、26层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乌鲁木齐银行股份有限公司</w:t>
            </w:r>
          </w:p>
        </w:tc>
        <w:tc>
          <w:tcPr>
            <w:tcW w:w="1200" w:type="dxa"/>
            <w:vAlign w:val="center"/>
          </w:tcPr>
          <w:p>
            <w:pPr>
              <w:jc w:val="left"/>
            </w:pPr>
            <w:r>
              <w:t>住所</w:t>
            </w:r>
          </w:p>
        </w:tc>
        <w:tc>
          <w:tcPr>
            <w:tcW w:w="3800" w:type="dxa"/>
            <w:vAlign w:val="center"/>
          </w:tcPr>
          <w:p>
            <w:pPr>
              <w:jc w:val="center"/>
            </w:pPr>
            <w:r>
              <w:t>新疆乌鲁木齐市水磨沟区会展大道599号新疆财富中心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099196518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九江银行股份有限公司</w:t>
            </w:r>
          </w:p>
        </w:tc>
        <w:tc>
          <w:tcPr>
            <w:tcW w:w="1200" w:type="dxa"/>
            <w:vAlign w:val="center"/>
          </w:tcPr>
          <w:p>
            <w:pPr>
              <w:jc w:val="left"/>
            </w:pPr>
            <w:r>
              <w:t>住所</w:t>
            </w:r>
          </w:p>
        </w:tc>
        <w:tc>
          <w:tcPr>
            <w:tcW w:w="3800" w:type="dxa"/>
            <w:vAlign w:val="center"/>
          </w:tcPr>
          <w:p>
            <w:pPr>
              <w:jc w:val="center"/>
            </w:pPr>
            <w:r>
              <w:t>江西省九江市濂溪区长虹大道619号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兴业银行股份有限公司</w:t>
            </w:r>
          </w:p>
        </w:tc>
        <w:tc>
          <w:tcPr>
            <w:tcW w:w="1200" w:type="dxa"/>
            <w:vAlign w:val="center"/>
          </w:tcPr>
          <w:p>
            <w:pPr>
              <w:jc w:val="left"/>
            </w:pPr>
            <w:r>
              <w:t>住所</w:t>
            </w:r>
          </w:p>
        </w:tc>
        <w:tc>
          <w:tcPr>
            <w:tcW w:w="3800" w:type="dxa"/>
            <w:vAlign w:val="center"/>
          </w:tcPr>
          <w:p>
            <w:pPr>
              <w:jc w:val="center"/>
            </w:pPr>
            <w:r>
              <w:t>福建省福州市台江区江滨中大道39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0591-87844196</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北京中关村银行股份有限公司</w:t>
            </w:r>
          </w:p>
        </w:tc>
        <w:tc>
          <w:tcPr>
            <w:tcW w:w="1200" w:type="dxa"/>
            <w:vAlign w:val="center"/>
          </w:tcPr>
          <w:p>
            <w:pPr>
              <w:jc w:val="left"/>
            </w:pPr>
            <w:r>
              <w:t>住所</w:t>
            </w:r>
          </w:p>
        </w:tc>
        <w:tc>
          <w:tcPr>
            <w:tcW w:w="3800" w:type="dxa"/>
            <w:vAlign w:val="center"/>
          </w:tcPr>
          <w:p>
            <w:pPr>
              <w:jc w:val="center"/>
            </w:pPr>
            <w:r>
              <w:t>北京市海淀区丰豪东路9号院2号楼3层2单元301至306,4层至10层2单元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4000108858</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北京农村商业银行股份有限公司</w:t>
            </w:r>
          </w:p>
        </w:tc>
        <w:tc>
          <w:tcPr>
            <w:tcW w:w="1200" w:type="dxa"/>
            <w:vAlign w:val="center"/>
          </w:tcPr>
          <w:p>
            <w:pPr>
              <w:jc w:val="left"/>
            </w:pPr>
            <w:r>
              <w:t>住所</w:t>
            </w:r>
          </w:p>
        </w:tc>
        <w:tc>
          <w:tcPr>
            <w:tcW w:w="3800" w:type="dxa"/>
            <w:vAlign w:val="center"/>
          </w:tcPr>
          <w:p>
            <w:pPr>
              <w:jc w:val="center"/>
            </w:pPr>
            <w:r>
              <w:t>北京市西城区月坛南街1号院2号楼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96198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厦门国际银行股份有限公司</w:t>
            </w:r>
          </w:p>
        </w:tc>
        <w:tc>
          <w:tcPr>
            <w:tcW w:w="1200" w:type="dxa"/>
            <w:vAlign w:val="center"/>
          </w:tcPr>
          <w:p>
            <w:pPr>
              <w:jc w:val="left"/>
            </w:pPr>
            <w:r>
              <w:t>住所</w:t>
            </w:r>
          </w:p>
        </w:tc>
        <w:tc>
          <w:tcPr>
            <w:tcW w:w="3800" w:type="dxa"/>
            <w:vAlign w:val="center"/>
          </w:tcPr>
          <w:p>
            <w:pPr>
              <w:jc w:val="center"/>
            </w:pPr>
            <w:r>
              <w:t>厦门市思明区鹭江道8-10号国际银行大厦1-6层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台州银行股份有限公司</w:t>
            </w:r>
          </w:p>
        </w:tc>
        <w:tc>
          <w:tcPr>
            <w:tcW w:w="1200" w:type="dxa"/>
            <w:vAlign w:val="center"/>
          </w:tcPr>
          <w:p>
            <w:pPr>
              <w:jc w:val="left"/>
            </w:pPr>
            <w:r>
              <w:t>住所</w:t>
            </w:r>
          </w:p>
        </w:tc>
        <w:tc>
          <w:tcPr>
            <w:tcW w:w="3800" w:type="dxa"/>
            <w:vAlign w:val="center"/>
          </w:tcPr>
          <w:p>
            <w:pPr>
              <w:jc w:val="center"/>
            </w:pPr>
            <w:r>
              <w:t>浙江省台州市路桥区南官大道92号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0576-81896013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吉林亿联银行股份有限公司</w:t>
            </w:r>
          </w:p>
        </w:tc>
        <w:tc>
          <w:tcPr>
            <w:tcW w:w="1200" w:type="dxa"/>
            <w:vAlign w:val="center"/>
          </w:tcPr>
          <w:p>
            <w:pPr>
              <w:jc w:val="left"/>
            </w:pPr>
            <w:r>
              <w:t>住所</w:t>
            </w:r>
          </w:p>
        </w:tc>
        <w:tc>
          <w:tcPr>
            <w:tcW w:w="3800" w:type="dxa"/>
            <w:vAlign w:val="center"/>
          </w:tcPr>
          <w:p>
            <w:pPr>
              <w:jc w:val="center"/>
            </w:pPr>
            <w:r>
              <w:t>吉林省长春市南关区人民大街10606号东北亚国际金融中心一期北楼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95396</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吉林银行股份有限公司</w:t>
            </w:r>
          </w:p>
        </w:tc>
        <w:tc>
          <w:tcPr>
            <w:tcW w:w="1200" w:type="dxa"/>
            <w:vAlign w:val="center"/>
          </w:tcPr>
          <w:p>
            <w:pPr>
              <w:jc w:val="left"/>
            </w:pPr>
            <w:r>
              <w:t>住所</w:t>
            </w:r>
          </w:p>
        </w:tc>
        <w:tc>
          <w:tcPr>
            <w:tcW w:w="3800" w:type="dxa"/>
            <w:vAlign w:val="center"/>
          </w:tcPr>
          <w:p>
            <w:pPr>
              <w:jc w:val="center"/>
            </w:pPr>
            <w:r>
              <w:t>经济开发区东南湖大路1817号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0431-84999543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唐山银行股份有限公司</w:t>
            </w:r>
          </w:p>
        </w:tc>
        <w:tc>
          <w:tcPr>
            <w:tcW w:w="1200" w:type="dxa"/>
            <w:vAlign w:val="center"/>
          </w:tcPr>
          <w:p>
            <w:pPr>
              <w:jc w:val="left"/>
            </w:pPr>
            <w:r>
              <w:t>住所</w:t>
            </w:r>
          </w:p>
        </w:tc>
        <w:tc>
          <w:tcPr>
            <w:tcW w:w="3800" w:type="dxa"/>
            <w:vAlign w:val="center"/>
          </w:tcPr>
          <w:p>
            <w:pPr>
              <w:jc w:val="center"/>
            </w:pPr>
            <w:r>
              <w:t>河北省唐山市路南区建设南路19号唐山新世界中心写字楼5层、21层、22层、23层、24层、26层、27层、28层、29层、30层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0315-2826443</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四川天府银行股份有限公司</w:t>
            </w:r>
          </w:p>
        </w:tc>
        <w:tc>
          <w:tcPr>
            <w:tcW w:w="1200" w:type="dxa"/>
            <w:vAlign w:val="center"/>
          </w:tcPr>
          <w:p>
            <w:pPr>
              <w:jc w:val="left"/>
            </w:pPr>
            <w:r>
              <w:t>住所</w:t>
            </w:r>
          </w:p>
        </w:tc>
        <w:tc>
          <w:tcPr>
            <w:tcW w:w="3800" w:type="dxa"/>
            <w:vAlign w:val="center"/>
          </w:tcPr>
          <w:p>
            <w:pPr>
              <w:jc w:val="center"/>
            </w:pPr>
            <w:r>
              <w:t>四川省南充市顺庆区滨江中路一段97号26栋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400-16-96869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四川新网银行股份有限公司</w:t>
            </w:r>
          </w:p>
        </w:tc>
        <w:tc>
          <w:tcPr>
            <w:tcW w:w="1200" w:type="dxa"/>
            <w:vAlign w:val="center"/>
          </w:tcPr>
          <w:p>
            <w:pPr>
              <w:jc w:val="left"/>
            </w:pPr>
            <w:r>
              <w:t>住所</w:t>
            </w:r>
          </w:p>
        </w:tc>
        <w:tc>
          <w:tcPr>
            <w:tcW w:w="3800" w:type="dxa"/>
            <w:vAlign w:val="center"/>
          </w:tcPr>
          <w:p>
            <w:pPr>
              <w:jc w:val="center"/>
            </w:pPr>
            <w:r>
              <w:t>成都高新区吉泰三路8号</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大连农村商业银行股份有限公司</w:t>
            </w:r>
          </w:p>
        </w:tc>
        <w:tc>
          <w:tcPr>
            <w:tcW w:w="1200" w:type="dxa"/>
            <w:vAlign w:val="center"/>
          </w:tcPr>
          <w:p>
            <w:pPr>
              <w:jc w:val="left"/>
            </w:pPr>
            <w:r>
              <w:t>住所</w:t>
            </w:r>
          </w:p>
        </w:tc>
        <w:tc>
          <w:tcPr>
            <w:tcW w:w="3800" w:type="dxa"/>
            <w:vAlign w:val="center"/>
          </w:tcPr>
          <w:p>
            <w:pPr>
              <w:jc w:val="center"/>
            </w:pPr>
            <w:r>
              <w:t>辽宁省大连经济技术开发区五彩城A区1栋-A1号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大连银行股份有限公司</w:t>
            </w:r>
          </w:p>
        </w:tc>
        <w:tc>
          <w:tcPr>
            <w:tcW w:w="1200" w:type="dxa"/>
            <w:vAlign w:val="center"/>
          </w:tcPr>
          <w:p>
            <w:pPr>
              <w:jc w:val="left"/>
            </w:pPr>
            <w:r>
              <w:t>住所</w:t>
            </w:r>
          </w:p>
        </w:tc>
        <w:tc>
          <w:tcPr>
            <w:tcW w:w="3800" w:type="dxa"/>
            <w:vAlign w:val="center"/>
          </w:tcPr>
          <w:p>
            <w:pPr>
              <w:jc w:val="center"/>
            </w:pPr>
            <w:r>
              <w:t>辽宁省大连市中山区中山路88号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4006640099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威海蓝海银行股份有限公司</w:t>
            </w:r>
          </w:p>
        </w:tc>
        <w:tc>
          <w:tcPr>
            <w:tcW w:w="1200" w:type="dxa"/>
            <w:vAlign w:val="center"/>
          </w:tcPr>
          <w:p>
            <w:pPr>
              <w:jc w:val="left"/>
            </w:pPr>
            <w:r>
              <w:t>住所</w:t>
            </w:r>
          </w:p>
        </w:tc>
        <w:tc>
          <w:tcPr>
            <w:tcW w:w="3800" w:type="dxa"/>
            <w:vAlign w:val="center"/>
          </w:tcPr>
          <w:p>
            <w:pPr>
              <w:jc w:val="center"/>
            </w:pPr>
            <w:r>
              <w:t>山东省威海市环翠区新威路17-2号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0631-5356901</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宁夏银行股份有限公司</w:t>
            </w:r>
          </w:p>
        </w:tc>
        <w:tc>
          <w:tcPr>
            <w:tcW w:w="1200" w:type="dxa"/>
            <w:vAlign w:val="center"/>
          </w:tcPr>
          <w:p>
            <w:pPr>
              <w:jc w:val="left"/>
            </w:pPr>
            <w:r>
              <w:t>住所</w:t>
            </w:r>
          </w:p>
        </w:tc>
        <w:tc>
          <w:tcPr>
            <w:tcW w:w="3800" w:type="dxa"/>
            <w:vAlign w:val="center"/>
          </w:tcPr>
          <w:p>
            <w:pPr>
              <w:jc w:val="center"/>
            </w:pPr>
            <w:r>
              <w:t>银川市金凤区北京中路157号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宁波奉化农村商业银行股份有限公司</w:t>
            </w:r>
          </w:p>
        </w:tc>
        <w:tc>
          <w:tcPr>
            <w:tcW w:w="1200" w:type="dxa"/>
            <w:vAlign w:val="center"/>
          </w:tcPr>
          <w:p>
            <w:pPr>
              <w:jc w:val="left"/>
            </w:pPr>
            <w:r>
              <w:t>住所</w:t>
            </w:r>
          </w:p>
        </w:tc>
        <w:tc>
          <w:tcPr>
            <w:tcW w:w="3800" w:type="dxa"/>
            <w:vAlign w:val="center"/>
          </w:tcPr>
          <w:p>
            <w:pPr>
              <w:jc w:val="center"/>
            </w:pPr>
            <w:r>
              <w:t>宁波市奉化区锦屏街道中山路27号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宁波通商银行股份有限公司</w:t>
            </w:r>
          </w:p>
        </w:tc>
        <w:tc>
          <w:tcPr>
            <w:tcW w:w="1200" w:type="dxa"/>
            <w:vAlign w:val="center"/>
          </w:tcPr>
          <w:p>
            <w:pPr>
              <w:jc w:val="left"/>
            </w:pPr>
            <w:r>
              <w:t>住所</w:t>
            </w:r>
          </w:p>
        </w:tc>
        <w:tc>
          <w:tcPr>
            <w:tcW w:w="3800" w:type="dxa"/>
            <w:vAlign w:val="center"/>
          </w:tcPr>
          <w:p>
            <w:pPr>
              <w:jc w:val="center"/>
            </w:pPr>
            <w:r>
              <w:t>浙江省宁波市鄞州区民安东路337号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4009166666</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宁波鄞州农村商业银行股份有限公司</w:t>
            </w:r>
          </w:p>
        </w:tc>
        <w:tc>
          <w:tcPr>
            <w:tcW w:w="1200" w:type="dxa"/>
            <w:vAlign w:val="center"/>
          </w:tcPr>
          <w:p>
            <w:pPr>
              <w:jc w:val="left"/>
            </w:pPr>
            <w:r>
              <w:t>住所</w:t>
            </w:r>
          </w:p>
        </w:tc>
        <w:tc>
          <w:tcPr>
            <w:tcW w:w="3800" w:type="dxa"/>
            <w:vAlign w:val="center"/>
          </w:tcPr>
          <w:p>
            <w:pPr>
              <w:jc w:val="center"/>
            </w:pPr>
            <w:r>
              <w:t>浙江省宁波市鄞州区民惠西路88号</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0574-87412766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富邦华一银行有限公司</w:t>
            </w:r>
          </w:p>
        </w:tc>
        <w:tc>
          <w:tcPr>
            <w:tcW w:w="1200" w:type="dxa"/>
            <w:vAlign w:val="center"/>
          </w:tcPr>
          <w:p>
            <w:pPr>
              <w:jc w:val="left"/>
            </w:pPr>
            <w:r>
              <w:t>住所</w:t>
            </w:r>
          </w:p>
        </w:tc>
        <w:tc>
          <w:tcPr>
            <w:tcW w:w="3800" w:type="dxa"/>
            <w:vAlign w:val="center"/>
          </w:tcPr>
          <w:p>
            <w:pPr>
              <w:jc w:val="center"/>
            </w:pPr>
            <w:r>
              <w:t>中国(上海)自由贸易试验区世纪大道1168号A座101室、18楼、19楼及20楼</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021-962811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广东华兴银行股份有限公司</w:t>
            </w:r>
          </w:p>
        </w:tc>
        <w:tc>
          <w:tcPr>
            <w:tcW w:w="1200" w:type="dxa"/>
            <w:vAlign w:val="center"/>
          </w:tcPr>
          <w:p>
            <w:pPr>
              <w:jc w:val="left"/>
            </w:pPr>
            <w:r>
              <w:t>住所</w:t>
            </w:r>
          </w:p>
        </w:tc>
        <w:tc>
          <w:tcPr>
            <w:tcW w:w="3800" w:type="dxa"/>
            <w:vAlign w:val="center"/>
          </w:tcPr>
          <w:p>
            <w:pPr>
              <w:jc w:val="center"/>
            </w:pPr>
            <w:r>
              <w:t>汕头市龙湖区黄山路28号四层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020-38173008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广东南粤银行股份有限公司</w:t>
            </w:r>
          </w:p>
        </w:tc>
        <w:tc>
          <w:tcPr>
            <w:tcW w:w="1200" w:type="dxa"/>
            <w:vAlign w:val="center"/>
          </w:tcPr>
          <w:p>
            <w:pPr>
              <w:jc w:val="left"/>
            </w:pPr>
            <w:r>
              <w:t>住所</w:t>
            </w:r>
          </w:p>
        </w:tc>
        <w:tc>
          <w:tcPr>
            <w:tcW w:w="3800" w:type="dxa"/>
            <w:vAlign w:val="center"/>
          </w:tcPr>
          <w:p>
            <w:pPr>
              <w:jc w:val="center"/>
            </w:pPr>
            <w:r>
              <w:t>湛江经济技术开发区乐山路27号财富汇金融中心1层01、02号商铺、2层01号商铺、3层01号商铺、39-45层办公室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0759-3309100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广州银行股份有限公司</w:t>
            </w:r>
          </w:p>
        </w:tc>
        <w:tc>
          <w:tcPr>
            <w:tcW w:w="1200" w:type="dxa"/>
            <w:vAlign w:val="center"/>
          </w:tcPr>
          <w:p>
            <w:pPr>
              <w:jc w:val="left"/>
            </w:pPr>
            <w:r>
              <w:t>住所</w:t>
            </w:r>
          </w:p>
        </w:tc>
        <w:tc>
          <w:tcPr>
            <w:tcW w:w="3800" w:type="dxa"/>
            <w:vAlign w:val="center"/>
          </w:tcPr>
          <w:p>
            <w:pPr>
              <w:jc w:val="center"/>
            </w:pPr>
            <w:r>
              <w:t>广州市天河区珠江东路30号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400-83-96699</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德州银行股份有限公司</w:t>
            </w:r>
          </w:p>
        </w:tc>
        <w:tc>
          <w:tcPr>
            <w:tcW w:w="1200" w:type="dxa"/>
            <w:vAlign w:val="center"/>
          </w:tcPr>
          <w:p>
            <w:pPr>
              <w:jc w:val="left"/>
            </w:pPr>
            <w:r>
              <w:t>住所</w:t>
            </w:r>
          </w:p>
        </w:tc>
        <w:tc>
          <w:tcPr>
            <w:tcW w:w="3800" w:type="dxa"/>
            <w:vAlign w:val="center"/>
          </w:tcPr>
          <w:p>
            <w:pPr>
              <w:jc w:val="center"/>
            </w:pPr>
            <w:r>
              <w:t>德州市三八东路1266号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0534-2291695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成都农村商业银行股份有限公司</w:t>
            </w:r>
          </w:p>
        </w:tc>
        <w:tc>
          <w:tcPr>
            <w:tcW w:w="1200" w:type="dxa"/>
            <w:vAlign w:val="center"/>
          </w:tcPr>
          <w:p>
            <w:pPr>
              <w:jc w:val="left"/>
            </w:pPr>
            <w:r>
              <w:t>住所</w:t>
            </w:r>
          </w:p>
        </w:tc>
        <w:tc>
          <w:tcPr>
            <w:tcW w:w="3800" w:type="dxa"/>
            <w:vAlign w:val="center"/>
          </w:tcPr>
          <w:p>
            <w:pPr>
              <w:jc w:val="center"/>
            </w:pPr>
            <w:r>
              <w:t>成都市武侯区科华中路88号</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新韩银行（中国）有限公司</w:t>
            </w:r>
          </w:p>
        </w:tc>
        <w:tc>
          <w:tcPr>
            <w:tcW w:w="1200" w:type="dxa"/>
            <w:vAlign w:val="center"/>
          </w:tcPr>
          <w:p>
            <w:pPr>
              <w:jc w:val="left"/>
            </w:pPr>
            <w:r>
              <w:t>住所</w:t>
            </w:r>
          </w:p>
        </w:tc>
        <w:tc>
          <w:tcPr>
            <w:tcW w:w="3800" w:type="dxa"/>
            <w:vAlign w:val="center"/>
          </w:tcPr>
          <w:p>
            <w:pPr>
              <w:jc w:val="center"/>
            </w:pPr>
            <w:r>
              <w:t>北京市朝阳区工体北路甲6号中宇大厦12层,11层1101,1102及1109单元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010-85290088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日照银行股份有限公司</w:t>
            </w:r>
          </w:p>
        </w:tc>
        <w:tc>
          <w:tcPr>
            <w:tcW w:w="1200" w:type="dxa"/>
            <w:vAlign w:val="center"/>
          </w:tcPr>
          <w:p>
            <w:pPr>
              <w:jc w:val="left"/>
            </w:pPr>
            <w:r>
              <w:t>住所</w:t>
            </w:r>
          </w:p>
        </w:tc>
        <w:tc>
          <w:tcPr>
            <w:tcW w:w="3800" w:type="dxa"/>
            <w:vAlign w:val="center"/>
          </w:tcPr>
          <w:p>
            <w:pPr>
              <w:jc w:val="center"/>
            </w:pPr>
            <w:r>
              <w:t>日照市烟台路197号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0633-8781988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晋商银行股份有限公司</w:t>
            </w:r>
          </w:p>
        </w:tc>
        <w:tc>
          <w:tcPr>
            <w:tcW w:w="1200" w:type="dxa"/>
            <w:vAlign w:val="center"/>
          </w:tcPr>
          <w:p>
            <w:pPr>
              <w:jc w:val="left"/>
            </w:pPr>
            <w:r>
              <w:t>住所</w:t>
            </w:r>
          </w:p>
        </w:tc>
        <w:tc>
          <w:tcPr>
            <w:tcW w:w="3800" w:type="dxa"/>
            <w:vAlign w:val="center"/>
          </w:tcPr>
          <w:p>
            <w:pPr>
              <w:jc w:val="center"/>
            </w:pPr>
            <w:r>
              <w:t>中国山西省太原市小店区长风街59号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9510-5588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汉口银行股份有限公司</w:t>
            </w:r>
          </w:p>
        </w:tc>
        <w:tc>
          <w:tcPr>
            <w:tcW w:w="1200" w:type="dxa"/>
            <w:vAlign w:val="center"/>
          </w:tcPr>
          <w:p>
            <w:pPr>
              <w:jc w:val="left"/>
            </w:pPr>
            <w:r>
              <w:t>住所</w:t>
            </w:r>
          </w:p>
        </w:tc>
        <w:tc>
          <w:tcPr>
            <w:tcW w:w="3800" w:type="dxa"/>
            <w:vAlign w:val="center"/>
          </w:tcPr>
          <w:p>
            <w:pPr>
              <w:jc w:val="center"/>
            </w:pPr>
            <w: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4006096558</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江苏常熟农村商业银行股份有限公司</w:t>
            </w:r>
          </w:p>
        </w:tc>
        <w:tc>
          <w:tcPr>
            <w:tcW w:w="1200" w:type="dxa"/>
            <w:vAlign w:val="center"/>
          </w:tcPr>
          <w:p>
            <w:pPr>
              <w:jc w:val="left"/>
            </w:pPr>
            <w:r>
              <w:t>住所</w:t>
            </w:r>
          </w:p>
        </w:tc>
        <w:tc>
          <w:tcPr>
            <w:tcW w:w="3800" w:type="dxa"/>
            <w:vAlign w:val="center"/>
          </w:tcPr>
          <w:p>
            <w:pPr>
              <w:jc w:val="center"/>
            </w:pPr>
            <w: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江苏昆山农村商业银行股份有限公司</w:t>
            </w:r>
          </w:p>
        </w:tc>
        <w:tc>
          <w:tcPr>
            <w:tcW w:w="1200" w:type="dxa"/>
            <w:vAlign w:val="center"/>
          </w:tcPr>
          <w:p>
            <w:pPr>
              <w:jc w:val="left"/>
            </w:pPr>
            <w:r>
              <w:t>住所</w:t>
            </w:r>
          </w:p>
        </w:tc>
        <w:tc>
          <w:tcPr>
            <w:tcW w:w="3800" w:type="dxa"/>
            <w:vAlign w:val="center"/>
          </w:tcPr>
          <w:p>
            <w:pPr>
              <w:jc w:val="center"/>
            </w:pPr>
            <w: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江苏苏商银行股份有限公司</w:t>
            </w:r>
          </w:p>
        </w:tc>
        <w:tc>
          <w:tcPr>
            <w:tcW w:w="1200" w:type="dxa"/>
            <w:vAlign w:val="center"/>
          </w:tcPr>
          <w:p>
            <w:pPr>
              <w:jc w:val="left"/>
            </w:pPr>
            <w:r>
              <w:t>住所</w:t>
            </w:r>
          </w:p>
        </w:tc>
        <w:tc>
          <w:tcPr>
            <w:tcW w:w="3800" w:type="dxa"/>
            <w:vAlign w:val="center"/>
          </w:tcPr>
          <w:p>
            <w:pPr>
              <w:jc w:val="center"/>
            </w:pPr>
            <w:r>
              <w:t>南京市建邺区庐山路248号4号楼第7、8、9、27、28、29层,4号楼裙楼第1、2层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025-66669001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江苏银行股份有限公司</w:t>
            </w:r>
          </w:p>
        </w:tc>
        <w:tc>
          <w:tcPr>
            <w:tcW w:w="1200" w:type="dxa"/>
            <w:vAlign w:val="center"/>
          </w:tcPr>
          <w:p>
            <w:pPr>
              <w:jc w:val="left"/>
            </w:pPr>
            <w:r>
              <w:t>住所</w:t>
            </w:r>
          </w:p>
        </w:tc>
        <w:tc>
          <w:tcPr>
            <w:tcW w:w="3800" w:type="dxa"/>
            <w:vAlign w:val="center"/>
          </w:tcPr>
          <w:p>
            <w:pPr>
              <w:jc w:val="center"/>
            </w:pPr>
            <w:r>
              <w:t>江苏南京市中华路26号</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泉州银行股份有限公司</w:t>
            </w:r>
          </w:p>
        </w:tc>
        <w:tc>
          <w:tcPr>
            <w:tcW w:w="1200" w:type="dxa"/>
            <w:vAlign w:val="center"/>
          </w:tcPr>
          <w:p>
            <w:pPr>
              <w:jc w:val="left"/>
            </w:pPr>
            <w:r>
              <w:t>住所</w:t>
            </w:r>
          </w:p>
        </w:tc>
        <w:tc>
          <w:tcPr>
            <w:tcW w:w="3800" w:type="dxa"/>
            <w:vAlign w:val="center"/>
          </w:tcPr>
          <w:p>
            <w:pPr>
              <w:jc w:val="center"/>
            </w:pPr>
            <w: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浙商银行股份有限公司</w:t>
            </w:r>
          </w:p>
        </w:tc>
        <w:tc>
          <w:tcPr>
            <w:tcW w:w="1200" w:type="dxa"/>
            <w:vAlign w:val="center"/>
          </w:tcPr>
          <w:p>
            <w:pPr>
              <w:jc w:val="left"/>
            </w:pPr>
            <w:r>
              <w:t>住所</w:t>
            </w:r>
          </w:p>
        </w:tc>
        <w:tc>
          <w:tcPr>
            <w:tcW w:w="3800" w:type="dxa"/>
            <w:vAlign w:val="center"/>
          </w:tcPr>
          <w:p>
            <w:pPr>
              <w:jc w:val="center"/>
            </w:pPr>
            <w:r>
              <w:t>浙江省杭州市萧山区鸿宁路1788号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0571-87659101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浙江台州黄岩农村商业银行股份有限公司</w:t>
            </w:r>
          </w:p>
        </w:tc>
        <w:tc>
          <w:tcPr>
            <w:tcW w:w="1200" w:type="dxa"/>
            <w:vAlign w:val="center"/>
          </w:tcPr>
          <w:p>
            <w:pPr>
              <w:jc w:val="left"/>
            </w:pPr>
            <w:r>
              <w:t>住所</w:t>
            </w:r>
          </w:p>
        </w:tc>
        <w:tc>
          <w:tcPr>
            <w:tcW w:w="3800" w:type="dxa"/>
            <w:vAlign w:val="center"/>
          </w:tcPr>
          <w:p>
            <w:pPr>
              <w:jc w:val="center"/>
            </w:pPr>
            <w:r>
              <w:t>浙江台州黄岩洞天路88号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0576-89996596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浙江嵊州农村商业银行股份有限公司</w:t>
            </w:r>
          </w:p>
        </w:tc>
        <w:tc>
          <w:tcPr>
            <w:tcW w:w="1200" w:type="dxa"/>
            <w:vAlign w:val="center"/>
          </w:tcPr>
          <w:p>
            <w:pPr>
              <w:jc w:val="left"/>
            </w:pPr>
            <w:r>
              <w:t>住所</w:t>
            </w:r>
          </w:p>
        </w:tc>
        <w:tc>
          <w:tcPr>
            <w:tcW w:w="3800" w:type="dxa"/>
            <w:vAlign w:val="center"/>
          </w:tcPr>
          <w:p>
            <w:pPr>
              <w:jc w:val="center"/>
            </w:pPr>
            <w:r>
              <w:t>浙江省嵊州市官河路398号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浙江常山农村商业银行股份有限公司</w:t>
            </w:r>
          </w:p>
        </w:tc>
        <w:tc>
          <w:tcPr>
            <w:tcW w:w="1200" w:type="dxa"/>
            <w:vAlign w:val="center"/>
          </w:tcPr>
          <w:p>
            <w:pPr>
              <w:jc w:val="left"/>
            </w:pPr>
            <w:r>
              <w:t>住所</w:t>
            </w:r>
          </w:p>
        </w:tc>
        <w:tc>
          <w:tcPr>
            <w:tcW w:w="3800" w:type="dxa"/>
            <w:vAlign w:val="center"/>
          </w:tcPr>
          <w:p>
            <w:pPr>
              <w:jc w:val="center"/>
            </w:pPr>
            <w:r>
              <w:t>浙江省衢州市常山县紫港街道文教东路258号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4008896596</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浙江开化农村商业银行股份有限公司</w:t>
            </w:r>
          </w:p>
        </w:tc>
        <w:tc>
          <w:tcPr>
            <w:tcW w:w="1200" w:type="dxa"/>
            <w:vAlign w:val="center"/>
          </w:tcPr>
          <w:p>
            <w:pPr>
              <w:jc w:val="left"/>
            </w:pPr>
            <w:r>
              <w:t>住所</w:t>
            </w:r>
          </w:p>
        </w:tc>
        <w:tc>
          <w:tcPr>
            <w:tcW w:w="3800" w:type="dxa"/>
            <w:vAlign w:val="center"/>
          </w:tcPr>
          <w:p>
            <w:pPr>
              <w:jc w:val="center"/>
            </w:pPr>
            <w:r>
              <w:t>浙江省衢州市开化县华埠镇永吉二路8号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0570-6025125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浙江文成农村商业银行股份有限公司</w:t>
            </w:r>
          </w:p>
        </w:tc>
        <w:tc>
          <w:tcPr>
            <w:tcW w:w="1200" w:type="dxa"/>
            <w:vAlign w:val="center"/>
          </w:tcPr>
          <w:p>
            <w:pPr>
              <w:jc w:val="left"/>
            </w:pPr>
            <w:r>
              <w:t>住所</w:t>
            </w:r>
          </w:p>
        </w:tc>
        <w:tc>
          <w:tcPr>
            <w:tcW w:w="3800" w:type="dxa"/>
            <w:vAlign w:val="center"/>
          </w:tcPr>
          <w:p>
            <w:pPr>
              <w:jc w:val="center"/>
            </w:pPr>
            <w:r>
              <w:t>浙江省温州市文成县大学镇伯温路6号文成农商银行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浙江新昌农村商业银行股份有限公司</w:t>
            </w:r>
          </w:p>
        </w:tc>
        <w:tc>
          <w:tcPr>
            <w:tcW w:w="1200" w:type="dxa"/>
            <w:vAlign w:val="center"/>
          </w:tcPr>
          <w:p>
            <w:pPr>
              <w:jc w:val="left"/>
            </w:pPr>
            <w:r>
              <w:t>住所</w:t>
            </w:r>
          </w:p>
        </w:tc>
        <w:tc>
          <w:tcPr>
            <w:tcW w:w="3800" w:type="dxa"/>
            <w:vAlign w:val="center"/>
          </w:tcPr>
          <w:p>
            <w:pPr>
              <w:jc w:val="center"/>
            </w:pPr>
            <w:r>
              <w:t>新昌县七星街道七星路18号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浙江武义农村商业银行股份有限公司</w:t>
            </w:r>
          </w:p>
        </w:tc>
        <w:tc>
          <w:tcPr>
            <w:tcW w:w="1200" w:type="dxa"/>
            <w:vAlign w:val="center"/>
          </w:tcPr>
          <w:p>
            <w:pPr>
              <w:jc w:val="left"/>
            </w:pPr>
            <w:r>
              <w:t>住所</w:t>
            </w:r>
          </w:p>
        </w:tc>
        <w:tc>
          <w:tcPr>
            <w:tcW w:w="3800" w:type="dxa"/>
            <w:vAlign w:val="center"/>
          </w:tcPr>
          <w:p>
            <w:pPr>
              <w:jc w:val="center"/>
            </w:pPr>
            <w:r>
              <w:t>浙江省金华市武义县武阳中路37号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0579-87663486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浙江民泰商业银行股份有限公司</w:t>
            </w:r>
          </w:p>
        </w:tc>
        <w:tc>
          <w:tcPr>
            <w:tcW w:w="1200" w:type="dxa"/>
            <w:vAlign w:val="center"/>
          </w:tcPr>
          <w:p>
            <w:pPr>
              <w:jc w:val="left"/>
            </w:pPr>
            <w:r>
              <w:t>住所</w:t>
            </w:r>
          </w:p>
        </w:tc>
        <w:tc>
          <w:tcPr>
            <w:tcW w:w="3800" w:type="dxa"/>
            <w:vAlign w:val="center"/>
          </w:tcPr>
          <w:p>
            <w:pPr>
              <w:jc w:val="center"/>
            </w:pPr>
            <w:r>
              <w:t>浙江省温岭市太平街道三星大道168号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0576-86165160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浙江永嘉农村商业银行股份有限公司</w:t>
            </w:r>
          </w:p>
        </w:tc>
        <w:tc>
          <w:tcPr>
            <w:tcW w:w="1200" w:type="dxa"/>
            <w:vAlign w:val="center"/>
          </w:tcPr>
          <w:p>
            <w:pPr>
              <w:jc w:val="left"/>
            </w:pPr>
            <w:r>
              <w:t>住所</w:t>
            </w:r>
          </w:p>
        </w:tc>
        <w:tc>
          <w:tcPr>
            <w:tcW w:w="3800" w:type="dxa"/>
            <w:vAlign w:val="center"/>
          </w:tcPr>
          <w:p>
            <w:pPr>
              <w:jc w:val="center"/>
            </w:pPr>
            <w:r>
              <w:t>浙江省永嘉县瓯北镇阳光大道3918号永嘉农商银行总行</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4008057705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浙江泰顺农村商业银行股份有限公司</w:t>
            </w:r>
          </w:p>
        </w:tc>
        <w:tc>
          <w:tcPr>
            <w:tcW w:w="1200" w:type="dxa"/>
            <w:vAlign w:val="center"/>
          </w:tcPr>
          <w:p>
            <w:pPr>
              <w:jc w:val="left"/>
            </w:pPr>
            <w:r>
              <w:t>住所</w:t>
            </w:r>
          </w:p>
        </w:tc>
        <w:tc>
          <w:tcPr>
            <w:tcW w:w="3800" w:type="dxa"/>
            <w:vAlign w:val="center"/>
          </w:tcPr>
          <w:p>
            <w:pPr>
              <w:jc w:val="center"/>
            </w:pPr>
            <w:r>
              <w:t>浙江泰顺县罗阳镇文祥大道181号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4008057708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浙江浦江农村商业银行股份有限公司</w:t>
            </w:r>
          </w:p>
        </w:tc>
        <w:tc>
          <w:tcPr>
            <w:tcW w:w="1200" w:type="dxa"/>
            <w:vAlign w:val="center"/>
          </w:tcPr>
          <w:p>
            <w:pPr>
              <w:jc w:val="left"/>
            </w:pPr>
            <w:r>
              <w:t>住所</w:t>
            </w:r>
          </w:p>
        </w:tc>
        <w:tc>
          <w:tcPr>
            <w:tcW w:w="3800" w:type="dxa"/>
            <w:vAlign w:val="center"/>
          </w:tcPr>
          <w:p>
            <w:pPr>
              <w:jc w:val="center"/>
            </w:pPr>
            <w:r>
              <w:t>浙江省浦江县人民东路90号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0579-88081234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浙江温州龙湾农村商业银行股份有限公司</w:t>
            </w:r>
          </w:p>
        </w:tc>
        <w:tc>
          <w:tcPr>
            <w:tcW w:w="1200" w:type="dxa"/>
            <w:vAlign w:val="center"/>
          </w:tcPr>
          <w:p>
            <w:pPr>
              <w:jc w:val="left"/>
            </w:pPr>
            <w:r>
              <w:t>住所</w:t>
            </w:r>
          </w:p>
        </w:tc>
        <w:tc>
          <w:tcPr>
            <w:tcW w:w="3800" w:type="dxa"/>
            <w:vAlign w:val="center"/>
          </w:tcPr>
          <w:p>
            <w:pPr>
              <w:jc w:val="center"/>
            </w:pPr>
            <w:r>
              <w:t>温州市龙湾区永中街道永宁西路555号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4008296596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浙江绍兴恒信农村商业银行股份有限公司</w:t>
            </w:r>
          </w:p>
        </w:tc>
        <w:tc>
          <w:tcPr>
            <w:tcW w:w="1200" w:type="dxa"/>
            <w:vAlign w:val="center"/>
          </w:tcPr>
          <w:p>
            <w:pPr>
              <w:jc w:val="left"/>
            </w:pPr>
            <w:r>
              <w:t>住所</w:t>
            </w:r>
          </w:p>
        </w:tc>
        <w:tc>
          <w:tcPr>
            <w:tcW w:w="3800" w:type="dxa"/>
            <w:vAlign w:val="center"/>
          </w:tcPr>
          <w:p>
            <w:pPr>
              <w:jc w:val="center"/>
            </w:pPr>
            <w:r>
              <w:t>浙江省绍兴市越城区中兴中路159号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浙江绍兴瑞丰农村商业银行股份有限公司</w:t>
            </w:r>
          </w:p>
        </w:tc>
        <w:tc>
          <w:tcPr>
            <w:tcW w:w="1200" w:type="dxa"/>
            <w:vAlign w:val="center"/>
          </w:tcPr>
          <w:p>
            <w:pPr>
              <w:jc w:val="left"/>
            </w:pPr>
            <w:r>
              <w:t>住所</w:t>
            </w:r>
          </w:p>
        </w:tc>
        <w:tc>
          <w:tcPr>
            <w:tcW w:w="3800" w:type="dxa"/>
            <w:vAlign w:val="center"/>
          </w:tcPr>
          <w:p>
            <w:pPr>
              <w:jc w:val="center"/>
            </w:pPr>
            <w:r>
              <w:t>浙江省绍兴市柯桥区笛扬路1363号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4008896596</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浙江网商银行股份有限公司</w:t>
            </w:r>
          </w:p>
        </w:tc>
        <w:tc>
          <w:tcPr>
            <w:tcW w:w="1200" w:type="dxa"/>
            <w:vAlign w:val="center"/>
          </w:tcPr>
          <w:p>
            <w:pPr>
              <w:jc w:val="left"/>
            </w:pPr>
            <w:r>
              <w:t>住所</w:t>
            </w:r>
          </w:p>
        </w:tc>
        <w:tc>
          <w:tcPr>
            <w:tcW w:w="3800" w:type="dxa"/>
            <w:vAlign w:val="center"/>
          </w:tcPr>
          <w:p>
            <w:pPr>
              <w:jc w:val="center"/>
            </w:pPr>
            <w:r>
              <w:t>浙江省杭州市西湖区学院路77号黄龙国际中心8号楼14-20层</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95188-3(个人客户)/956188(企业客户)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浙江萧山农村商业银行股份有限公司</w:t>
            </w:r>
          </w:p>
        </w:tc>
        <w:tc>
          <w:tcPr>
            <w:tcW w:w="1200" w:type="dxa"/>
            <w:vAlign w:val="center"/>
          </w:tcPr>
          <w:p>
            <w:pPr>
              <w:jc w:val="left"/>
            </w:pPr>
            <w:r>
              <w:t>住所</w:t>
            </w:r>
          </w:p>
        </w:tc>
        <w:tc>
          <w:tcPr>
            <w:tcW w:w="3800" w:type="dxa"/>
            <w:vAlign w:val="center"/>
          </w:tcPr>
          <w:p>
            <w:pPr>
              <w:jc w:val="center"/>
            </w:pPr>
            <w:r>
              <w:t>杭州市萧山区城厢街道人民路258号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浙江衢州衢江农村商业银行股份有限公司</w:t>
            </w:r>
          </w:p>
        </w:tc>
        <w:tc>
          <w:tcPr>
            <w:tcW w:w="1200" w:type="dxa"/>
            <w:vAlign w:val="center"/>
          </w:tcPr>
          <w:p>
            <w:pPr>
              <w:jc w:val="left"/>
            </w:pPr>
            <w:r>
              <w:t>住所</w:t>
            </w:r>
          </w:p>
        </w:tc>
        <w:tc>
          <w:tcPr>
            <w:tcW w:w="3800" w:type="dxa"/>
            <w:vAlign w:val="center"/>
          </w:tcPr>
          <w:p>
            <w:pPr>
              <w:jc w:val="center"/>
            </w:pPr>
            <w:r>
              <w:t>浙江省衢州市衢江区樟潭街道信安东路37号</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0570-3026608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浙江诸暨农村商业银行股份有限公司</w:t>
            </w:r>
          </w:p>
        </w:tc>
        <w:tc>
          <w:tcPr>
            <w:tcW w:w="1200" w:type="dxa"/>
            <w:vAlign w:val="center"/>
          </w:tcPr>
          <w:p>
            <w:pPr>
              <w:jc w:val="left"/>
            </w:pPr>
            <w:r>
              <w:t>住所</w:t>
            </w:r>
          </w:p>
        </w:tc>
        <w:tc>
          <w:tcPr>
            <w:tcW w:w="3800" w:type="dxa"/>
            <w:vAlign w:val="center"/>
          </w:tcPr>
          <w:p>
            <w:pPr>
              <w:jc w:val="center"/>
            </w:pPr>
            <w:r>
              <w:t>浙江省诸暨市暨阳街道大桥东路2号</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浙江长兴农村商业银行股份有限公司</w:t>
            </w:r>
          </w:p>
        </w:tc>
        <w:tc>
          <w:tcPr>
            <w:tcW w:w="1200" w:type="dxa"/>
            <w:vAlign w:val="center"/>
          </w:tcPr>
          <w:p>
            <w:pPr>
              <w:jc w:val="left"/>
            </w:pPr>
            <w:r>
              <w:t>住所</w:t>
            </w:r>
          </w:p>
        </w:tc>
        <w:tc>
          <w:tcPr>
            <w:tcW w:w="3800" w:type="dxa"/>
            <w:vAlign w:val="center"/>
          </w:tcPr>
          <w:p>
            <w:pPr>
              <w:jc w:val="center"/>
            </w:pPr>
            <w:r>
              <w:t>浙江省长兴县太湖街道明珠路1298号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浙江龙游农村商业银行股份有限公司</w:t>
            </w:r>
          </w:p>
        </w:tc>
        <w:tc>
          <w:tcPr>
            <w:tcW w:w="1200" w:type="dxa"/>
            <w:vAlign w:val="center"/>
          </w:tcPr>
          <w:p>
            <w:pPr>
              <w:jc w:val="left"/>
            </w:pPr>
            <w:r>
              <w:t>住所</w:t>
            </w:r>
          </w:p>
        </w:tc>
        <w:tc>
          <w:tcPr>
            <w:tcW w:w="3800" w:type="dxa"/>
            <w:vAlign w:val="center"/>
          </w:tcPr>
          <w:p>
            <w:pPr>
              <w:jc w:val="center"/>
            </w:pPr>
            <w:r>
              <w:t>浙江省衢州市龙游县龙洲街道荣昌大道683、685、687号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海南银行股份有限公司</w:t>
            </w:r>
          </w:p>
        </w:tc>
        <w:tc>
          <w:tcPr>
            <w:tcW w:w="1200" w:type="dxa"/>
            <w:vAlign w:val="center"/>
          </w:tcPr>
          <w:p>
            <w:pPr>
              <w:jc w:val="left"/>
            </w:pPr>
            <w:r>
              <w:t>住所</w:t>
            </w:r>
          </w:p>
        </w:tc>
        <w:tc>
          <w:tcPr>
            <w:tcW w:w="3800" w:type="dxa"/>
            <w:vAlign w:val="center"/>
          </w:tcPr>
          <w:p>
            <w:pPr>
              <w:jc w:val="center"/>
            </w:pPr>
            <w:r>
              <w:t>海南省海口市龙华区海秀东路31号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0898-66505978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深圳前海微众银行股份有限公司</w:t>
            </w:r>
          </w:p>
        </w:tc>
        <w:tc>
          <w:tcPr>
            <w:tcW w:w="1200" w:type="dxa"/>
            <w:vAlign w:val="center"/>
          </w:tcPr>
          <w:p>
            <w:pPr>
              <w:jc w:val="left"/>
            </w:pPr>
            <w:r>
              <w:t>住所</w:t>
            </w:r>
          </w:p>
        </w:tc>
        <w:tc>
          <w:tcPr>
            <w:tcW w:w="3800" w:type="dxa"/>
            <w:vAlign w:val="center"/>
          </w:tcPr>
          <w:p>
            <w:pPr>
              <w:jc w:val="center"/>
            </w:pPr>
            <w:r>
              <w:t>深圳市前海深港合作区前湾一路1号A栋201室（入驻深圳市前海商务秘书有限公司）经营场所:广东省深圳市南山区沙河西路1819号深圳湾科技生态园7栋A座</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0755-89462525</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湖州吴兴农村商业银行股份有限公司</w:t>
            </w:r>
          </w:p>
        </w:tc>
        <w:tc>
          <w:tcPr>
            <w:tcW w:w="1200" w:type="dxa"/>
            <w:vAlign w:val="center"/>
          </w:tcPr>
          <w:p>
            <w:pPr>
              <w:jc w:val="left"/>
            </w:pPr>
            <w:r>
              <w:t>住所</w:t>
            </w:r>
          </w:p>
        </w:tc>
        <w:tc>
          <w:tcPr>
            <w:tcW w:w="3800" w:type="dxa"/>
            <w:vAlign w:val="center"/>
          </w:tcPr>
          <w:p>
            <w:pPr>
              <w:jc w:val="center"/>
            </w:pPr>
            <w:r>
              <w:t>浙江省湖州市吴兴区东街55号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4008896596</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潍坊银行股份有限公司</w:t>
            </w:r>
          </w:p>
        </w:tc>
        <w:tc>
          <w:tcPr>
            <w:tcW w:w="1200" w:type="dxa"/>
            <w:vAlign w:val="center"/>
          </w:tcPr>
          <w:p>
            <w:pPr>
              <w:jc w:val="left"/>
            </w:pPr>
            <w:r>
              <w:t>住所</w:t>
            </w:r>
          </w:p>
        </w:tc>
        <w:tc>
          <w:tcPr>
            <w:tcW w:w="3800" w:type="dxa"/>
            <w:vAlign w:val="center"/>
          </w:tcPr>
          <w:p>
            <w:pPr>
              <w:jc w:val="center"/>
            </w:pPr>
            <w:r>
              <w:t>潍坊市奎文区胜利东街5139号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0536-8106161</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澳门国际银行股份有限公司广州分行</w:t>
            </w:r>
          </w:p>
        </w:tc>
        <w:tc>
          <w:tcPr>
            <w:tcW w:w="1200" w:type="dxa"/>
            <w:vAlign w:val="center"/>
          </w:tcPr>
          <w:p>
            <w:pPr>
              <w:jc w:val="left"/>
            </w:pPr>
            <w:r>
              <w:t>住所</w:t>
            </w:r>
          </w:p>
        </w:tc>
        <w:tc>
          <w:tcPr>
            <w:tcW w:w="3800" w:type="dxa"/>
            <w:vAlign w:val="center"/>
          </w:tcPr>
          <w:p>
            <w:pPr>
              <w:jc w:val="center"/>
            </w:pPr>
            <w:r>
              <w:t>广州市天河区珠江新城华夏路8号合景国际金融广场1层104房、27层2701房自编02单元、34层3401房、35层3501房</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020-28089999</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烟台银行股份有限公司</w:t>
            </w:r>
          </w:p>
        </w:tc>
        <w:tc>
          <w:tcPr>
            <w:tcW w:w="1200" w:type="dxa"/>
            <w:vAlign w:val="center"/>
          </w:tcPr>
          <w:p>
            <w:pPr>
              <w:jc w:val="left"/>
            </w:pPr>
            <w:r>
              <w:t>住所</w:t>
            </w:r>
          </w:p>
        </w:tc>
        <w:tc>
          <w:tcPr>
            <w:tcW w:w="3800" w:type="dxa"/>
            <w:vAlign w:val="center"/>
          </w:tcPr>
          <w:p>
            <w:pPr>
              <w:jc w:val="center"/>
            </w:pPr>
            <w:r>
              <w:t>烟台市芝罘区海港路25号</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0535-6691305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甘肃银行股份有限公司</w:t>
            </w:r>
          </w:p>
        </w:tc>
        <w:tc>
          <w:tcPr>
            <w:tcW w:w="1200" w:type="dxa"/>
            <w:vAlign w:val="center"/>
          </w:tcPr>
          <w:p>
            <w:pPr>
              <w:jc w:val="left"/>
            </w:pPr>
            <w:r>
              <w:t>住所</w:t>
            </w:r>
          </w:p>
        </w:tc>
        <w:tc>
          <w:tcPr>
            <w:tcW w:w="3800" w:type="dxa"/>
            <w:vAlign w:val="center"/>
          </w:tcPr>
          <w:p>
            <w:pPr>
              <w:jc w:val="center"/>
            </w:pPr>
            <w:r>
              <w:t>甘肃省兰州市城关区东岗西路525号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0931-8771864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盛京银行股份有限公司</w:t>
            </w:r>
          </w:p>
        </w:tc>
        <w:tc>
          <w:tcPr>
            <w:tcW w:w="1200" w:type="dxa"/>
            <w:vAlign w:val="center"/>
          </w:tcPr>
          <w:p>
            <w:pPr>
              <w:jc w:val="left"/>
            </w:pPr>
            <w:r>
              <w:t>住所</w:t>
            </w:r>
          </w:p>
        </w:tc>
        <w:tc>
          <w:tcPr>
            <w:tcW w:w="3800" w:type="dxa"/>
            <w:vAlign w:val="center"/>
          </w:tcPr>
          <w:p>
            <w:pPr>
              <w:jc w:val="center"/>
            </w:pPr>
            <w:r>
              <w:t>沈阳市沈河区北站路109号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石嘴山银行股份有限公司</w:t>
            </w:r>
          </w:p>
        </w:tc>
        <w:tc>
          <w:tcPr>
            <w:tcW w:w="1200" w:type="dxa"/>
            <w:vAlign w:val="center"/>
          </w:tcPr>
          <w:p>
            <w:pPr>
              <w:jc w:val="left"/>
            </w:pPr>
            <w:r>
              <w:t>住所</w:t>
            </w:r>
          </w:p>
        </w:tc>
        <w:tc>
          <w:tcPr>
            <w:tcW w:w="3800" w:type="dxa"/>
            <w:vAlign w:val="center"/>
          </w:tcPr>
          <w:p>
            <w:pPr>
              <w:jc w:val="center"/>
            </w:pPr>
            <w:r>
              <w:t>宁夏回族自治区石嘴山市大武口区朝阳西街39号</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0952-2029121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秦皇岛银行股份有限公司</w:t>
            </w:r>
          </w:p>
        </w:tc>
        <w:tc>
          <w:tcPr>
            <w:tcW w:w="1200" w:type="dxa"/>
            <w:vAlign w:val="center"/>
          </w:tcPr>
          <w:p>
            <w:pPr>
              <w:jc w:val="left"/>
            </w:pPr>
            <w:r>
              <w:t>住所</w:t>
            </w:r>
          </w:p>
        </w:tc>
        <w:tc>
          <w:tcPr>
            <w:tcW w:w="3800" w:type="dxa"/>
            <w:vAlign w:val="center"/>
          </w:tcPr>
          <w:p>
            <w:pPr>
              <w:jc w:val="center"/>
            </w:pPr>
            <w:r>
              <w:t>河北省秦皇岛市海港区河北大街西段560号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0335-5911161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绍兴银行股份有限公司</w:t>
            </w:r>
          </w:p>
        </w:tc>
        <w:tc>
          <w:tcPr>
            <w:tcW w:w="1200" w:type="dxa"/>
            <w:vAlign w:val="center"/>
          </w:tcPr>
          <w:p>
            <w:pPr>
              <w:jc w:val="left"/>
            </w:pPr>
            <w:r>
              <w:t>住所</w:t>
            </w:r>
          </w:p>
        </w:tc>
        <w:tc>
          <w:tcPr>
            <w:tcW w:w="3800" w:type="dxa"/>
            <w:vAlign w:val="center"/>
          </w:tcPr>
          <w:p>
            <w:pPr>
              <w:jc w:val="center"/>
            </w:pPr>
            <w:r>
              <w:t>浙江省绍兴市越城区塔山街道中兴南路1号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13606751337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苏州银行股份有限公司</w:t>
            </w:r>
          </w:p>
        </w:tc>
        <w:tc>
          <w:tcPr>
            <w:tcW w:w="1200" w:type="dxa"/>
            <w:vAlign w:val="center"/>
          </w:tcPr>
          <w:p>
            <w:pPr>
              <w:jc w:val="left"/>
            </w:pPr>
            <w:r>
              <w:t>住所</w:t>
            </w:r>
          </w:p>
        </w:tc>
        <w:tc>
          <w:tcPr>
            <w:tcW w:w="3800" w:type="dxa"/>
            <w:vAlign w:val="center"/>
          </w:tcPr>
          <w:p>
            <w:pPr>
              <w:jc w:val="center"/>
            </w:pPr>
            <w:r>
              <w:t>中国（江苏）自由贸易试验区苏州片区苏州工业园区钟园路728号</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0512-69868556</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贵阳银行股份有限公司</w:t>
            </w:r>
          </w:p>
        </w:tc>
        <w:tc>
          <w:tcPr>
            <w:tcW w:w="1200" w:type="dxa"/>
            <w:vAlign w:val="center"/>
          </w:tcPr>
          <w:p>
            <w:pPr>
              <w:jc w:val="left"/>
            </w:pPr>
            <w:r>
              <w:t>住所</w:t>
            </w:r>
          </w:p>
        </w:tc>
        <w:tc>
          <w:tcPr>
            <w:tcW w:w="3800" w:type="dxa"/>
            <w:vAlign w:val="center"/>
          </w:tcPr>
          <w:p>
            <w:pPr>
              <w:jc w:val="center"/>
            </w:pPr>
            <w:r>
              <w:t>贵州省贵阳市观山湖区长岭北路中天·会展城B区金融商务区东区1-6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4011-96033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赣州银行股份有限公司</w:t>
            </w:r>
          </w:p>
        </w:tc>
        <w:tc>
          <w:tcPr>
            <w:tcW w:w="1200" w:type="dxa"/>
            <w:vAlign w:val="center"/>
          </w:tcPr>
          <w:p>
            <w:pPr>
              <w:jc w:val="left"/>
            </w:pPr>
            <w:r>
              <w:t>住所</w:t>
            </w:r>
          </w:p>
        </w:tc>
        <w:tc>
          <w:tcPr>
            <w:tcW w:w="3800" w:type="dxa"/>
            <w:vAlign w:val="center"/>
          </w:tcPr>
          <w:p>
            <w:pPr>
              <w:jc w:val="center"/>
            </w:pPr>
            <w:r>
              <w:t>江西省赣州市赣江源大道26号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0797-96296</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郑州银行股份有限公司</w:t>
            </w:r>
          </w:p>
        </w:tc>
        <w:tc>
          <w:tcPr>
            <w:tcW w:w="1200" w:type="dxa"/>
            <w:vAlign w:val="center"/>
          </w:tcPr>
          <w:p>
            <w:pPr>
              <w:jc w:val="left"/>
            </w:pPr>
            <w:r>
              <w:t>住所</w:t>
            </w:r>
          </w:p>
        </w:tc>
        <w:tc>
          <w:tcPr>
            <w:tcW w:w="3800" w:type="dxa"/>
            <w:vAlign w:val="center"/>
          </w:tcPr>
          <w:p>
            <w:pPr>
              <w:jc w:val="center"/>
            </w:pPr>
            <w:r>
              <w:t>郑州市郑东新区商务外环路22号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0371-67009898</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重庆富民银行股份有限公司</w:t>
            </w:r>
          </w:p>
        </w:tc>
        <w:tc>
          <w:tcPr>
            <w:tcW w:w="1200" w:type="dxa"/>
            <w:vAlign w:val="center"/>
          </w:tcPr>
          <w:p>
            <w:pPr>
              <w:jc w:val="left"/>
            </w:pPr>
            <w:r>
              <w:t>住所</w:t>
            </w:r>
          </w:p>
        </w:tc>
        <w:tc>
          <w:tcPr>
            <w:tcW w:w="3800" w:type="dxa"/>
            <w:vAlign w:val="center"/>
          </w:tcPr>
          <w:p>
            <w:pPr>
              <w:jc w:val="center"/>
            </w:pPr>
            <w:r>
              <w:t>重庆市渝北区财富东路2号涉外商务区一期B1栋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023-88298888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重庆银行股份有限公司</w:t>
            </w:r>
          </w:p>
        </w:tc>
        <w:tc>
          <w:tcPr>
            <w:tcW w:w="1200" w:type="dxa"/>
            <w:vAlign w:val="center"/>
          </w:tcPr>
          <w:p>
            <w:pPr>
              <w:jc w:val="left"/>
            </w:pPr>
            <w:r>
              <w:t>住所</w:t>
            </w:r>
          </w:p>
        </w:tc>
        <w:tc>
          <w:tcPr>
            <w:tcW w:w="3800" w:type="dxa"/>
            <w:vAlign w:val="center"/>
          </w:tcPr>
          <w:p>
            <w:pPr>
              <w:jc w:val="center"/>
            </w:pPr>
            <w:r>
              <w:t>重庆市江北区永平门街6号</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956023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金华银行股份有限公司</w:t>
            </w:r>
          </w:p>
        </w:tc>
        <w:tc>
          <w:tcPr>
            <w:tcW w:w="1200" w:type="dxa"/>
            <w:vAlign w:val="center"/>
          </w:tcPr>
          <w:p>
            <w:pPr>
              <w:jc w:val="left"/>
            </w:pPr>
            <w:r>
              <w:t>住所</w:t>
            </w:r>
          </w:p>
        </w:tc>
        <w:tc>
          <w:tcPr>
            <w:tcW w:w="3800" w:type="dxa"/>
            <w:vAlign w:val="center"/>
          </w:tcPr>
          <w:p>
            <w:pPr>
              <w:jc w:val="center"/>
            </w:pPr>
            <w:r>
              <w:t>浙江省金华市丹溪路1388号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0579-96528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长安银行股份有限公司</w:t>
            </w:r>
          </w:p>
        </w:tc>
        <w:tc>
          <w:tcPr>
            <w:tcW w:w="1200" w:type="dxa"/>
            <w:vAlign w:val="center"/>
          </w:tcPr>
          <w:p>
            <w:pPr>
              <w:jc w:val="left"/>
            </w:pPr>
            <w:r>
              <w:t>住所</w:t>
            </w:r>
          </w:p>
        </w:tc>
        <w:tc>
          <w:tcPr>
            <w:tcW w:w="3800" w:type="dxa"/>
            <w:vAlign w:val="center"/>
          </w:tcPr>
          <w:p>
            <w:pPr>
              <w:jc w:val="center"/>
            </w:pPr>
            <w: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029-96669</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齐鲁银行股份有限公司</w:t>
            </w:r>
          </w:p>
        </w:tc>
        <w:tc>
          <w:tcPr>
            <w:tcW w:w="1200" w:type="dxa"/>
            <w:vAlign w:val="center"/>
          </w:tcPr>
          <w:p>
            <w:pPr>
              <w:jc w:val="left"/>
            </w:pPr>
            <w:r>
              <w:t>住所</w:t>
            </w:r>
          </w:p>
        </w:tc>
        <w:tc>
          <w:tcPr>
            <w:tcW w:w="3800" w:type="dxa"/>
            <w:vAlign w:val="center"/>
          </w:tcPr>
          <w:p>
            <w:pPr>
              <w:jc w:val="center"/>
            </w:pPr>
            <w:r>
              <w:t>山东省济南市历下区经十路10817号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0531-86075850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jc w:val="center"/>
            </w:pPr>
            <w:r>
              <w:t>销售机构职责</w:t>
            </w:r>
          </w:p>
        </w:tc>
        <w:tc>
          <w:tcPr>
            <w:tcW w:w="6600" w:type="dxa"/>
            <w:gridSpan w:val="3"/>
            <w:vAlign w:val="center"/>
          </w:tcPr>
          <w:p>
            <w:pPr>
              <w:jc w:val="left"/>
            </w:pPr>
            <w: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工作日</w:t>
      </w:r>
      <w:r>
        <w:rPr>
          <w:rFonts w:hint="eastAsia" w:ascii="宋体" w:hAnsi="宋体" w:cs="宋体"/>
          <w:bCs/>
          <w:color w:val="000000"/>
          <w:sz w:val="24"/>
          <w:highlight w:val="none"/>
        </w:rPr>
        <w:t>，定期由理财管理人和理财托管人核对估值结果并向投资者披露，具体日期以管理人公告为准。</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20"/>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债券及同业存单类资产，按市价法估值。市价法不能确定公允价值的，采用估值技术进行估值。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债权类资产，按市价法估值。市价法不能确定其公允价值的，采用估值技术进行估值。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lang w:val="en-US" w:eastAsia="zh-CN"/>
        </w:rPr>
        <w:t>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首次发行未上市的股票，按发行价格进行估值；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因持有股票而享有的配股权，采用估值技术确定公允价值。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20"/>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20"/>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当</w:t>
      </w:r>
      <w:r>
        <w:rPr>
          <w:rFonts w:hint="eastAsia" w:ascii="宋体" w:hAnsi="宋体" w:cs="宋体"/>
          <w:bCs/>
          <w:color w:val="000000"/>
          <w:sz w:val="24"/>
          <w:highlight w:val="none"/>
          <w:lang w:val="en-US" w:eastAsia="zh-CN"/>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sz w:val="24"/>
          <w:highlight w:val="none"/>
        </w:rPr>
        <w:t>延缓支付赎回款项或暂停接受理财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认购、赎回申请等</w:t>
      </w:r>
      <w:r>
        <w:rPr>
          <w:rFonts w:hint="eastAsia" w:ascii="宋体" w:hAnsi="宋体" w:cs="宋体"/>
          <w:bCs/>
          <w:color w:val="000000"/>
          <w:sz w:val="24"/>
          <w:highlight w:val="none"/>
          <w:lang w:val="en-US" w:eastAsia="zh-CN"/>
        </w:rPr>
        <w:t>措施。</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费用及税收</w:t>
      </w:r>
    </w:p>
    <w:p>
      <w:pPr>
        <w:numPr>
          <w:ilvl w:val="0"/>
          <w:numId w:val="3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、托管费、固定管理费、认购费、申购费、赎回费、浮动管理费以及理财计划运作和清算中产生的其他费用等。</w:t>
      </w:r>
    </w:p>
    <w:p>
      <w:pPr>
        <w:numPr>
          <w:ilvl w:val="0"/>
          <w:numId w:val="3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w:t>
      </w: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H为每日应计提的</w:t>
      </w:r>
      <w:r>
        <w:rPr>
          <w:rFonts w:hint="eastAsia" w:ascii="宋体" w:hAnsi="宋体" w:cs="宋体"/>
          <w:bCs/>
          <w:color w:val="000000"/>
          <w:sz w:val="24"/>
          <w:szCs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原则上按日计提。</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理财计划财产的年化托管费为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rPr>
        <w:t>托管费原则上按日计提。</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以</w:t>
      </w:r>
      <w:r>
        <w:rPr>
          <w:rFonts w:hint="eastAsia" w:ascii="宋体" w:hAnsi="宋体" w:eastAsia="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eastAsia="宋体" w:cs="宋体"/>
          <w:bCs/>
          <w:color w:val="000000"/>
          <w:sz w:val="24"/>
          <w:szCs w:val="24"/>
          <w:highlight w:val="none"/>
          <w:lang w:val="en-US" w:eastAsia="zh-CN"/>
        </w:rPr>
        <w:t>份额</w:t>
      </w:r>
      <w:r>
        <w:rPr>
          <w:rFonts w:hint="eastAsia" w:ascii="宋体" w:hAnsi="宋体" w:eastAsia="宋体" w:cs="宋体"/>
          <w:bCs/>
          <w:color w:val="000000"/>
          <w:sz w:val="24"/>
          <w:szCs w:val="24"/>
          <w:highlight w:val="none"/>
        </w:rPr>
        <w:t>〗为例</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理财计划财产的年化固定管理费率为</w:t>
      </w:r>
      <w:r>
        <w:rPr>
          <w:rFonts w:hint="eastAsia" w:ascii="宋体" w:hAnsi="宋体" w:eastAsia="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，计算方法如下：</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H＝E×</w:t>
      </w:r>
      <w:r>
        <w:rPr>
          <w:rFonts w:hint="eastAsia" w:ascii="宋体" w:hAnsi="宋体" w:eastAsia="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H为每日应计提的</w:t>
      </w:r>
      <w:r>
        <w:rPr>
          <w:rFonts w:hint="eastAsia" w:ascii="宋体" w:hAnsi="宋体" w:eastAsia="宋体" w:cs="宋体"/>
          <w:bCs/>
          <w:color w:val="000000"/>
          <w:sz w:val="24"/>
          <w:szCs w:val="24"/>
          <w:highlight w:val="none"/>
          <w:lang w:eastAsia="zh-CN"/>
        </w:rPr>
        <w:t>固定</w:t>
      </w:r>
      <w:r>
        <w:rPr>
          <w:rFonts w:hint="eastAsia" w:ascii="宋体" w:hAnsi="宋体" w:eastAsia="宋体" w:cs="宋体"/>
          <w:bCs/>
          <w:color w:val="000000"/>
          <w:sz w:val="24"/>
          <w:szCs w:val="24"/>
          <w:highlight w:val="none"/>
        </w:rPr>
        <w:t>管理费</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E为本理财计划前一日资产净值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szCs w:val="24"/>
          <w:highlight w:val="none"/>
        </w:rPr>
        <w:t>固定管理费原则上按日计提</w:t>
      </w:r>
      <w:r>
        <w:rPr>
          <w:rFonts w:hint="eastAsia" w:ascii="宋体" w:hAnsi="宋体" w:eastAsia="宋体" w:cs="宋体"/>
          <w:bCs/>
          <w:color w:val="000000"/>
          <w:sz w:val="24"/>
          <w:szCs w:val="24"/>
          <w:highlight w:val="none"/>
          <w:lang w:eastAsia="zh-CN"/>
        </w:rPr>
        <w:t>，</w:t>
      </w:r>
      <w:r>
        <w:rPr>
          <w:rFonts w:hint="eastAsia" w:ascii="宋体" w:hAnsi="宋体" w:eastAsia="宋体" w:cs="宋体"/>
          <w:color w:val="000000"/>
          <w:kern w:val="2"/>
          <w:sz w:val="24"/>
          <w:szCs w:val="24"/>
          <w:lang w:val="en-US" w:eastAsia="zh-CN" w:bidi="ar"/>
        </w:rPr>
        <w:t>若本理财计划份额每个周期结束日的折合年化收益率不达当期该份额业绩比较基准下限，则管理人以当期全部固定管理费为上限，减免全部或部分固定管理费用</w:t>
      </w:r>
      <w:r>
        <w:rPr>
          <w:rFonts w:hint="eastAsia" w:ascii="宋体" w:hAnsi="宋体" w:eastAsia="宋体" w:cs="宋体"/>
          <w:bCs/>
          <w:color w:val="000000"/>
          <w:sz w:val="24"/>
          <w:szCs w:val="24"/>
          <w:highlight w:val="none"/>
          <w:lang w:eastAsia="zh-CN"/>
        </w:rPr>
        <w:t>。</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本理财计划免除认购费。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申购费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本理财计划免除申购费。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赎回费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本理财计划免除赎回费。</w:t>
      </w:r>
    </w:p>
    <w:p>
      <w:pPr>
        <w:numPr>
          <w:ilvl w:val="0"/>
          <w:numId w:val="3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浮动管理费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理财管理人根据理财计划投资情况计算浮动管理费，本理财计划</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A</w:t>
      </w:r>
      <w:r>
        <w:rPr>
          <w:rFonts w:hint="eastAsia" w:ascii="宋体" w:hAnsi="宋体" w:cs="宋体"/>
          <w:color w:val="000000"/>
          <w:sz w:val="24"/>
          <w:szCs w:val="24"/>
          <w:highlight w:val="none"/>
          <w:lang w:val="en-US" w:eastAsia="zh-CN"/>
        </w:rPr>
        <w:t>份额</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投资周期的</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折合年化收益率超</w:t>
      </w:r>
      <w:r>
        <w:rPr>
          <w:rFonts w:hint="eastAsia" w:ascii="宋体" w:hAnsi="宋体" w:cs="宋体"/>
          <w:bCs/>
          <w:color w:val="000000"/>
          <w:sz w:val="24"/>
          <w:szCs w:val="24"/>
          <w:highlight w:val="none"/>
          <w:lang w:eastAsia="zh-CN"/>
        </w:rPr>
        <w:t>过</w:t>
      </w:r>
      <w:r>
        <w:rPr>
          <w:rFonts w:hint="eastAsia" w:ascii="宋体" w:hAnsi="宋体" w:eastAsia="宋体" w:cs="宋体"/>
          <w:bCs/>
          <w:color w:val="000000"/>
          <w:kern w:val="2"/>
          <w:sz w:val="24"/>
          <w:szCs w:val="24"/>
          <w:highlight w:val="none"/>
          <w:lang w:val="en-US" w:eastAsia="zh-CN" w:bidi="ar-SA"/>
        </w:rPr>
        <w:t>2.35</w:t>
      </w:r>
      <w:r>
        <w:rPr>
          <w:rFonts w:hint="eastAsia" w:ascii="宋体" w:hAnsi="宋体" w:cs="宋体"/>
          <w:bCs/>
          <w:color w:val="000000"/>
          <w:sz w:val="24"/>
          <w:szCs w:val="24"/>
          <w:highlight w:val="none"/>
          <w:lang w:eastAsia="zh-CN"/>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的部分管理人提取</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50</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作为浮动管理费，每个投资周期结束后收取。本理财计划投资周期的折合年化收益率若小于或等于</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2.35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则不收取浮动管理费。</w:t>
      </w:r>
      <w:r>
        <w:rPr>
          <w:rFonts w:hint="eastAsia" w:ascii="宋体" w:hAnsi="宋体" w:cs="宋体"/>
          <w:bCs/>
          <w:color w:val="000000"/>
          <w:sz w:val="24"/>
          <w:szCs w:val="24"/>
          <w:highlight w:val="none"/>
          <w:lang w:eastAsia="zh-CN"/>
        </w:rPr>
        <w:t>浮动管理费原则上按估值日计提，</w:t>
      </w:r>
      <w:r>
        <w:rPr>
          <w:rFonts w:hint="eastAsia" w:ascii="宋体" w:hAnsi="宋体" w:cs="宋体"/>
          <w:bCs/>
          <w:color w:val="000000"/>
          <w:sz w:val="24"/>
          <w:szCs w:val="24"/>
          <w:highlight w:val="none"/>
          <w:lang w:val="en-US" w:eastAsia="zh-CN"/>
        </w:rPr>
        <w:t>赎回/理财计划</w:t>
      </w:r>
      <w:r>
        <w:rPr>
          <w:rFonts w:hint="eastAsia" w:ascii="宋体" w:hAnsi="宋体" w:cs="宋体"/>
          <w:bCs/>
          <w:color w:val="000000"/>
          <w:sz w:val="24"/>
          <w:szCs w:val="24"/>
          <w:highlight w:val="none"/>
          <w:lang w:eastAsia="zh-CN"/>
        </w:rPr>
        <w:t>到期收取。以</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A</w:t>
      </w:r>
      <w:r>
        <w:rPr>
          <w:rFonts w:hint="eastAsia" w:ascii="宋体" w:hAnsi="宋体" w:cs="宋体"/>
          <w:color w:val="000000"/>
          <w:sz w:val="24"/>
          <w:szCs w:val="24"/>
          <w:highlight w:val="none"/>
          <w:lang w:val="en-US" w:eastAsia="zh-CN"/>
        </w:rPr>
        <w:t>份额</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eastAsia="zh-CN"/>
        </w:rPr>
        <w:t>为例，</w:t>
      </w:r>
      <w:r>
        <w:rPr>
          <w:rFonts w:hint="eastAsia" w:ascii="宋体" w:hAnsi="宋体" w:cs="宋体"/>
          <w:bCs/>
          <w:color w:val="000000"/>
          <w:sz w:val="24"/>
          <w:szCs w:val="24"/>
          <w:highlight w:val="none"/>
        </w:rPr>
        <w:t>具体计算方法如下：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H＝E×NAV0×(K-R)×〖</w:t>
      </w:r>
      <w:r>
        <w:rPr>
          <w:rFonts w:hint="eastAsia" w:ascii="宋体" w:hAnsi="宋体" w:eastAsia="宋体" w:cs="宋体"/>
          <w:bCs/>
          <w:color w:val="000000"/>
          <w:kern w:val="2"/>
          <w:sz w:val="24"/>
          <w:szCs w:val="24"/>
          <w:highlight w:val="none"/>
          <w:lang w:val="en-US" w:eastAsia="zh-CN" w:bidi="ar-SA"/>
        </w:rPr>
        <w:t>50</w:t>
      </w:r>
      <w:r>
        <w:rPr>
          <w:rFonts w:hint="eastAsia" w:ascii="宋体" w:hAnsi="宋体" w:cs="宋体"/>
          <w:bCs/>
          <w:color w:val="000000"/>
          <w:sz w:val="24"/>
          <w:szCs w:val="24"/>
          <w:highlight w:val="none"/>
        </w:rPr>
        <w:t>%〗×N÷365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其中，K=(NAV1-NAV0+T)÷NAV0×365÷N</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H为当前确认日应收取浮动管理费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w:t>
      </w:r>
      <w:r>
        <w:rPr>
          <w:rFonts w:hint="eastAsia" w:ascii="宋体" w:hAnsi="宋体" w:cs="宋体"/>
          <w:bCs/>
          <w:color w:val="000000"/>
          <w:sz w:val="24"/>
          <w:szCs w:val="24"/>
          <w:highlight w:val="none"/>
          <w:lang w:val="en-US" w:eastAsia="zh-CN"/>
        </w:rPr>
        <w:t>理财计划</w:t>
      </w:r>
      <w:r>
        <w:rPr>
          <w:rFonts w:hint="eastAsia" w:ascii="宋体" w:hAnsi="宋体" w:cs="宋体"/>
          <w:bCs/>
          <w:color w:val="000000"/>
          <w:sz w:val="24"/>
          <w:szCs w:val="24"/>
          <w:highlight w:val="none"/>
        </w:rPr>
        <w:t>上一个确认日的存续份额</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K为收取浮动管理费前投资者赎回份额对应持有区间折合年化收益率</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NAV0为上一个确认日前一日费后单位净值</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NAV1为当前确认日前一日未扣除浮动管理费前的单位净值</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R为本次投资周期的</w:t>
      </w:r>
      <w:r>
        <w:rPr>
          <w:rFonts w:hint="eastAsia" w:ascii="宋体" w:hAnsi="宋体" w:cs="宋体"/>
          <w:bCs/>
          <w:color w:val="000000"/>
          <w:sz w:val="24"/>
          <w:szCs w:val="24"/>
          <w:highlight w:val="none"/>
          <w:lang w:val="en-US" w:eastAsia="zh-CN"/>
        </w:rPr>
        <w:t>浮动管理费计提基数</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N为上一个确认日（含）至当前确认日（不含）的实际理财天数</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rPr>
        <w:t>T为当前投资周期内每单位份额的实际分红金额的合计（如有）</w:t>
      </w:r>
    </w:p>
    <w:p>
      <w:pPr>
        <w:numPr>
          <w:ilvl w:val="0"/>
          <w:numId w:val="40"/>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ind w:firstLine="482" w:firstLineChars="200"/>
        <w:jc w:val="left"/>
        <w:rPr>
          <w:rFonts w:ascii="宋体" w:hAnsi="宋体" w:cs="宋体"/>
          <w:bCs/>
          <w:sz w:val="24"/>
          <w:highlight w:val="none"/>
        </w:rPr>
      </w:pP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税收说明</w:t>
      </w:r>
    </w:p>
    <w:p>
      <w:pPr>
        <w:numPr>
          <w:ilvl w:val="0"/>
          <w:numId w:val="43"/>
        </w:numPr>
        <w:spacing w:line="360" w:lineRule="auto"/>
        <w:ind w:firstLine="480" w:firstLineChars="200"/>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3"/>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43"/>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收益计算</w:t>
      </w:r>
    </w:p>
    <w:p>
      <w:pPr>
        <w:numPr>
          <w:ilvl w:val="0"/>
          <w:numId w:val="44"/>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投资者理财收益＝赎回份额×赎回确认日（提前终止日）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单位净值-认购或申购金额+</w:t>
      </w:r>
      <w:r>
        <w:rPr>
          <w:rFonts w:hint="eastAsia" w:ascii="宋体" w:hAnsi="宋体" w:cs="宋体"/>
          <w:bCs/>
          <w:sz w:val="24"/>
          <w:highlight w:val="none"/>
        </w:rPr>
        <w:t>份额持有期间累计分红（如有）</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份额=认购或申购金额÷认购或申购确认日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赎回确认日（提前终止日）</w:t>
      </w:r>
      <w:r>
        <w:rPr>
          <w:rFonts w:hint="eastAsia" w:ascii="宋体" w:hAnsi="宋体" w:cs="宋体"/>
          <w:bCs/>
          <w:color w:val="000000"/>
          <w:sz w:val="24"/>
          <w:highlight w:val="none"/>
          <w:lang w:val="en-US" w:eastAsia="zh-CN"/>
        </w:rPr>
        <w:t>前一日的</w:t>
      </w:r>
      <w:r>
        <w:rPr>
          <w:rFonts w:hint="eastAsia" w:ascii="宋体" w:hAnsi="宋体" w:cs="宋体"/>
          <w:bCs/>
          <w:color w:val="000000"/>
          <w:sz w:val="24"/>
          <w:highlight w:val="none"/>
        </w:rPr>
        <w:t>单位净值为提取相关费用及税费后的单位理财计划份额净值。</w:t>
      </w:r>
    </w:p>
    <w:p>
      <w:pPr>
        <w:numPr>
          <w:ilvl w:val="0"/>
          <w:numId w:val="44"/>
        </w:numPr>
        <w:spacing w:line="360" w:lineRule="auto"/>
        <w:jc w:val="left"/>
        <w:outlineLvl w:val="9"/>
        <w:rPr>
          <w:rFonts w:hint="eastAsia" w:ascii="宋体" w:hAnsi="宋体" w:cs="宋体"/>
          <w:bCs/>
          <w:color w:val="000000"/>
          <w:sz w:val="24"/>
          <w:highlight w:val="none"/>
        </w:rPr>
      </w:pPr>
      <w:r>
        <w:rPr>
          <w:rFonts w:hint="eastAsia" w:ascii="宋体" w:hAnsi="宋体" w:cs="宋体"/>
          <w:b/>
          <w:sz w:val="24"/>
          <w:highlight w:val="none"/>
        </w:rPr>
        <w:t>示例说明</w:t>
      </w:r>
    </w:p>
    <w:p>
      <w:pPr>
        <w:numPr>
          <w:ilvl w:val="0"/>
          <w:numId w:val="0"/>
        </w:numPr>
        <w:spacing w:line="360" w:lineRule="auto"/>
        <w:ind w:left="420" w:leftChars="0"/>
        <w:jc w:val="left"/>
        <w:outlineLvl w:val="9"/>
        <w:rPr>
          <w:rFonts w:hint="eastAsia" w:ascii="宋体" w:hAnsi="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扣除托管费、固定管理费、销售服务费（如有）后，投资收益率超过浮动管理费计提基数。</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浮动管理费计提基数为5.00%，期间无分红。赎回时扣除托管费、固定管理费、销售服务费（如有）后，如理财计划净值为1.0615，此时，(1.0615/1.00-1)×365/362=6.20%&gt;5.00%，即投资收益超过〖5.00%〗，则投资管理人对超过〖5.00%〗部分收益收取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（100,000.00×1.0615-100,000.00×1.0000-100,000.00×1.0000×5.00%×362/365）×50%=595.55（元）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100,000.00×（1.0615-1.00）-595.55 =5,554.45（元），理财计划赎回时，投资者获得的实际收益相当于达到年化收益率水平为：5,554.45/100,000.00×365/362=5.60%。</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扣除托管费、固定管理费、销售服务费（如有）后，投资收益率未达到浮动管理费计提基数。</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w:t>
      </w:r>
      <w:r>
        <w:rPr>
          <w:rFonts w:hint="eastAsia" w:ascii="宋体" w:hAnsi="宋体" w:eastAsia="宋体" w:cs="宋体"/>
          <w:b w:val="0"/>
          <w:bCs w:val="0"/>
          <w:kern w:val="2"/>
          <w:sz w:val="24"/>
          <w:szCs w:val="24"/>
          <w:lang w:val="en-US" w:eastAsia="zh-CN" w:bidi="ar"/>
        </w:rPr>
        <w:t>浮动管理费计提基数</w:t>
      </w:r>
      <w:r>
        <w:rPr>
          <w:rFonts w:hint="eastAsia" w:ascii="宋体" w:hAnsi="宋体" w:eastAsia="宋体" w:cs="宋体"/>
          <w:kern w:val="2"/>
          <w:sz w:val="24"/>
          <w:szCs w:val="24"/>
          <w:lang w:val="en-US" w:eastAsia="zh-CN" w:bidi="ar"/>
        </w:rPr>
        <w:t>为5.00%</w:t>
      </w:r>
      <w:r>
        <w:rPr>
          <w:rFonts w:hint="eastAsia" w:ascii="宋体" w:hAnsi="宋体" w:eastAsia="宋体" w:cs="宋体"/>
          <w:color w:val="000000"/>
          <w:kern w:val="2"/>
          <w:sz w:val="24"/>
          <w:szCs w:val="24"/>
          <w:lang w:val="en-US" w:eastAsia="zh-CN" w:bidi="ar"/>
        </w:rPr>
        <w:t>，期间无分红。赎回时扣除托管费、固定管理费、销售服务费（如有）后，如理财计划净值为1.0426，此时，(1.0426/1.00-1)×365/362=4.30%&lt;5.00%，即投资收益未达到〖5.00%〗，则投资管理人不收取浮动管理费，投资者最终收益为：100,000.00×(1.0426-1.00）=4,260.00（元）</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lang w:val="en-US" w:eastAsia="zh-CN" w:bidi="ar"/>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w:t>
      </w:r>
      <w:r>
        <w:rPr>
          <w:rFonts w:hint="eastAsia" w:ascii="宋体" w:hAnsi="宋体" w:eastAsia="宋体" w:cs="宋体"/>
          <w:b w:val="0"/>
          <w:bCs w:val="0"/>
          <w:kern w:val="2"/>
          <w:sz w:val="24"/>
          <w:szCs w:val="24"/>
          <w:lang w:val="en-US" w:eastAsia="zh-CN" w:bidi="ar"/>
        </w:rPr>
        <w:t>浮动管理费计提基准</w:t>
      </w:r>
      <w:r>
        <w:rPr>
          <w:rFonts w:hint="eastAsia" w:ascii="宋体" w:hAnsi="宋体" w:eastAsia="宋体" w:cs="宋体"/>
          <w:kern w:val="2"/>
          <w:sz w:val="24"/>
          <w:szCs w:val="24"/>
          <w:lang w:val="en-US" w:eastAsia="zh-CN" w:bidi="ar"/>
        </w:rPr>
        <w:t>为5.00%</w:t>
      </w:r>
      <w:r>
        <w:rPr>
          <w:rFonts w:hint="eastAsia" w:ascii="宋体" w:hAnsi="宋体" w:eastAsia="宋体" w:cs="宋体"/>
          <w:color w:val="000000"/>
          <w:kern w:val="2"/>
          <w:sz w:val="24"/>
          <w:szCs w:val="24"/>
          <w:lang w:val="en-US" w:eastAsia="zh-CN" w:bidi="ar"/>
        </w:rPr>
        <w:t>，期间无分红。赎回时扣除托管费、固定管理费、销售服务费（如有）后，如理财计划净值为0.9975，则投资管理人不收取浮动管理费，投资者最终收益为：100,000.00×（0.9975-1.00）=-250.00（元）。</w:t>
      </w:r>
    </w:p>
    <w:p>
      <w:pPr>
        <w:numPr>
          <w:ilvl w:val="0"/>
          <w:numId w:val="44"/>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w:t>
      </w:r>
      <w:r>
        <w:rPr>
          <w:rFonts w:hint="eastAsia" w:ascii="宋体" w:hAnsi="宋体" w:cs="宋体"/>
          <w:bCs/>
          <w:color w:val="000000"/>
          <w:sz w:val="24"/>
          <w:highlight w:val="none"/>
          <w:lang w:eastAsia="zh-CN"/>
        </w:rPr>
        <w:t>赎回或</w:t>
      </w:r>
      <w:r>
        <w:rPr>
          <w:rFonts w:hint="eastAsia" w:ascii="宋体" w:hAnsi="宋体" w:cs="宋体"/>
          <w:bCs/>
          <w:color w:val="000000"/>
          <w:sz w:val="24"/>
          <w:highlight w:val="none"/>
        </w:rPr>
        <w:t>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交易规则</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认购</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color w:val="000000"/>
          <w:sz w:val="24"/>
          <w:highlight w:val="none"/>
        </w:rPr>
        <w:t>成立</w:t>
      </w:r>
    </w:p>
    <w:p>
      <w:pPr>
        <w:numPr>
          <w:ilvl w:val="0"/>
          <w:numId w:val="48"/>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8"/>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申购及赎回</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交易确认及时间</w:t>
      </w:r>
    </w:p>
    <w:p>
      <w:pPr>
        <w:numPr>
          <w:ilvl w:val="0"/>
          <w:numId w:val="50"/>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本理财计划在每个开放期的开放日工作时间可进行申购</w:t>
      </w:r>
      <w:r>
        <w:rPr>
          <w:rFonts w:hint="eastAsia" w:ascii="宋体" w:hAnsi="宋体" w:cs="宋体"/>
          <w:bCs/>
          <w:sz w:val="24"/>
          <w:highlight w:val="none"/>
          <w:lang w:val="en-US" w:eastAsia="zh-CN"/>
        </w:rPr>
        <w:t>和赎回</w:t>
      </w:r>
      <w:r>
        <w:rPr>
          <w:rFonts w:hint="eastAsia" w:ascii="宋体" w:hAnsi="宋体" w:cs="宋体"/>
          <w:bCs/>
          <w:sz w:val="24"/>
          <w:highlight w:val="none"/>
        </w:rPr>
        <w:t>，申购</w:t>
      </w:r>
      <w:r>
        <w:rPr>
          <w:rFonts w:hint="eastAsia" w:ascii="宋体" w:hAnsi="宋体" w:cs="宋体"/>
          <w:bCs/>
          <w:sz w:val="24"/>
          <w:highlight w:val="none"/>
          <w:lang w:val="en-US" w:eastAsia="zh-CN"/>
        </w:rPr>
        <w:t>和赎回</w:t>
      </w:r>
      <w:r>
        <w:rPr>
          <w:rFonts w:hint="eastAsia" w:ascii="宋体" w:hAnsi="宋体" w:cs="宋体"/>
          <w:bCs/>
          <w:sz w:val="24"/>
          <w:highlight w:val="none"/>
        </w:rPr>
        <w:t>申请将在确认日进行确认，即开放期后的第〖</w:t>
      </w:r>
      <w:r>
        <w:rPr>
          <w:rFonts w:hint="eastAsia" w:ascii="宋体" w:hAnsi="宋体" w:cs="宋体"/>
          <w:bCs/>
          <w:color w:val="000000"/>
          <w:sz w:val="24"/>
          <w:highlight w:val="none"/>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〗进行确认。</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工作时间为每个〖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〗上午〖</w:t>
      </w:r>
      <w:r>
        <w:rPr>
          <w:rFonts w:hint="eastAsia" w:ascii="宋体" w:hAnsi="宋体" w:cs="宋体"/>
          <w:bCs/>
          <w:color w:val="000000"/>
          <w:sz w:val="24"/>
          <w:highlight w:val="none"/>
        </w:rPr>
        <w:t>9:00</w:t>
      </w:r>
      <w:r>
        <w:rPr>
          <w:rFonts w:hint="eastAsia" w:ascii="宋体" w:hAnsi="宋体" w:cs="宋体"/>
          <w:bCs/>
          <w:sz w:val="24"/>
          <w:highlight w:val="none"/>
        </w:rPr>
        <w:t>〗至下午〖</w:t>
      </w:r>
      <w:r>
        <w:rPr>
          <w:rFonts w:hint="eastAsia" w:ascii="宋体" w:hAnsi="宋体" w:cs="宋体"/>
          <w:bCs/>
          <w:color w:val="000000"/>
          <w:sz w:val="24"/>
          <w:highlight w:val="none"/>
        </w:rPr>
        <w:t>17:00〗</w:t>
      </w:r>
      <w:r>
        <w:rPr>
          <w:rFonts w:hint="eastAsia" w:ascii="宋体" w:hAnsi="宋体" w:cs="宋体"/>
          <w:bCs/>
          <w:sz w:val="24"/>
          <w:highlight w:val="none"/>
        </w:rPr>
        <w:t>。</w:t>
      </w:r>
      <w:r>
        <w:rPr>
          <w:rFonts w:hint="eastAsia" w:ascii="宋体" w:hAnsi="宋体" w:cs="宋体"/>
          <w:color w:val="000000"/>
          <w:kern w:val="0"/>
          <w:sz w:val="24"/>
          <w:szCs w:val="24"/>
          <w:highlight w:val="none"/>
        </w:rPr>
        <w:t>（具体以销售机构规定为准）</w:t>
      </w:r>
    </w:p>
    <w:p>
      <w:pPr>
        <w:numPr>
          <w:ilvl w:val="0"/>
          <w:numId w:val="50"/>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lang w:eastAsia="zh-CN"/>
        </w:rPr>
        <w:t>如新增申</w:t>
      </w:r>
      <w:r>
        <w:rPr>
          <w:rFonts w:hint="eastAsia" w:ascii="宋体" w:hAnsi="宋体" w:cs="宋体"/>
          <w:bCs/>
          <w:color w:val="000000"/>
          <w:sz w:val="24"/>
          <w:highlight w:val="none"/>
          <w:lang w:val="en-US" w:eastAsia="zh-CN"/>
        </w:rPr>
        <w:t>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到账时间</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赎回资金确认后，最快</w:t>
      </w:r>
      <w:r>
        <w:rPr>
          <w:rFonts w:hint="eastAsia" w:ascii="宋体" w:hAnsi="宋体" w:eastAsia="宋体" w:cs="宋体"/>
          <w:bCs/>
          <w:kern w:val="2"/>
          <w:sz w:val="24"/>
          <w:szCs w:val="24"/>
          <w:highlight w:val="none"/>
          <w:lang w:val="en-US" w:eastAsia="zh-CN" w:bidi="ar-SA"/>
        </w:rPr>
        <w:t>〖确认日当日〗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确认日后〖2〗个〖工作日〗内</w:t>
      </w:r>
      <w:r>
        <w:rPr>
          <w:rFonts w:hint="eastAsia" w:ascii="宋体" w:hAnsi="宋体" w:cs="宋体"/>
          <w:bCs/>
          <w:sz w:val="24"/>
          <w:highlight w:val="none"/>
        </w:rPr>
        <w:t>（遇节假日顺延）支付。如遇资金在途或法定工作日调整，实际资金到账日以公告为准。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numPr>
          <w:ilvl w:val="0"/>
          <w:numId w:val="51"/>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巨额赎回认定</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理财计划存续期内，若理财计划开放日净赎回申请份额超过上一日日终理财计划总份额〖</w:t>
      </w:r>
      <w:r>
        <w:rPr>
          <w:rFonts w:hint="eastAsia" w:ascii="宋体" w:hAnsi="宋体" w:cs="宋体"/>
          <w:bCs/>
          <w:color w:val="000000"/>
          <w:sz w:val="24"/>
          <w:highlight w:val="none"/>
        </w:rPr>
        <w:t>10%</w:t>
      </w:r>
      <w:r>
        <w:rPr>
          <w:rFonts w:hint="eastAsia" w:ascii="宋体" w:hAnsi="宋体" w:cs="宋体"/>
          <w:bCs/>
          <w:sz w:val="24"/>
          <w:highlight w:val="none"/>
        </w:rPr>
        <w:t>〗时，即构成巨额赎回。</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当出现巨额赎回时，管理人可以根据资产组合状况决定采取全额赎回或拒绝超出部分的赎回申请。</w:t>
      </w:r>
      <w:r>
        <w:rPr>
          <w:rFonts w:hint="eastAsia" w:ascii="宋体" w:hAnsi="宋体" w:cs="宋体"/>
          <w:bCs/>
          <w:sz w:val="24"/>
          <w:highlight w:val="none"/>
          <w:lang w:val="en-US" w:eastAsia="zh-CN"/>
        </w:rPr>
        <w:t>如连续2日（含）以上开放日发生巨额赎回，对于已经接受的赎回申请，管理人可以延缓支付赎回款项，但延缓期限不得超过20个工作日。</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全部赎回</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当管理人认为全额兑付投资者的赎回申请将不会对本理财计划净值造成较大波动或给本理财计划造成重大损失时，按正常赎回程序执行。</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拒绝超出部分的赎回申请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highlight w:val="none"/>
        </w:rPr>
        <w:t>10%</w:t>
      </w:r>
      <w:r>
        <w:rPr>
          <w:rFonts w:hint="eastAsia" w:ascii="宋体" w:hAnsi="宋体" w:cs="宋体"/>
          <w:bCs/>
          <w:sz w:val="24"/>
          <w:highlight w:val="none"/>
        </w:rPr>
        <w:t>〗的前提下，对其余赎回申请予以拒绝，但投资者可于下一赎回开放期重新进行赎回申请。</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在</w:t>
      </w:r>
      <w:r>
        <w:rPr>
          <w:rFonts w:hint="eastAsia" w:ascii="宋体" w:hAnsi="宋体" w:cs="宋体"/>
          <w:bCs/>
          <w:sz w:val="24"/>
          <w:highlight w:val="none"/>
        </w:rPr>
        <w:t>理财计划存续期内，管理人有权根据市场情况调整巨额赎回金额比例，并及时进行对外公告。</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暂停申购、赎回及延期支付赎回的情形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发生以下情形，管理人可暂停接受全部或部分投资者的申购申请：</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w:t>
      </w:r>
      <w:r>
        <w:rPr>
          <w:rFonts w:hint="eastAsia" w:ascii="宋体" w:hAnsi="宋体" w:cs="宋体"/>
          <w:bCs/>
          <w:sz w:val="24"/>
          <w:highlight w:val="none"/>
          <w:lang w:val="en-US" w:eastAsia="zh-CN"/>
        </w:rPr>
        <w:t>资产规模过大，继续接受申购可能对理财计划业绩产生负面影响，从而损害现有份额持有人利益的情形时</w:t>
      </w:r>
      <w:r>
        <w:rPr>
          <w:rFonts w:hint="eastAsia" w:ascii="宋体" w:hAnsi="宋体" w:cs="宋体"/>
          <w:bCs/>
          <w:sz w:val="24"/>
          <w:highlight w:val="none"/>
        </w:rPr>
        <w:t>。</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当</w:t>
      </w:r>
      <w:r>
        <w:rPr>
          <w:rFonts w:hint="eastAsia" w:ascii="宋体" w:hAnsi="宋体" w:cs="宋体"/>
          <w:bCs/>
          <w:sz w:val="24"/>
          <w:highlight w:val="none"/>
          <w:lang w:val="en-US" w:eastAsia="zh-CN"/>
        </w:rPr>
        <w:t>管理人认为某笔申购申请会有损于其他份额持有人利益的情形时。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发生产品说明书约定的暂停估值的情形时。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发生以下情形，对超出前一日终理财产品总份额10%的赎回申请，管理人可暂停接受全部或部分、延期办理投资者的赎回申请：</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理财计划发生巨额赎回情形时。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当继续</w:t>
      </w:r>
      <w:r>
        <w:rPr>
          <w:rFonts w:hint="default" w:ascii="宋体" w:hAnsi="宋体" w:cs="宋体"/>
          <w:bCs/>
          <w:sz w:val="24"/>
          <w:highlight w:val="none"/>
          <w:lang w:val="en-US" w:eastAsia="zh-CN"/>
        </w:rPr>
        <w:t>接受赎回申请将损害存量投资者利益的情形</w:t>
      </w:r>
      <w:r>
        <w:rPr>
          <w:rFonts w:hint="eastAsia" w:ascii="宋体" w:hAnsi="宋体" w:cs="宋体"/>
          <w:bCs/>
          <w:sz w:val="24"/>
          <w:highlight w:val="none"/>
          <w:lang w:val="en-US" w:eastAsia="zh-CN"/>
        </w:rPr>
        <w:t>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w:t>
      </w:r>
      <w:r>
        <w:rPr>
          <w:rFonts w:hint="default" w:ascii="宋体" w:hAnsi="宋体" w:cs="宋体"/>
          <w:bCs/>
          <w:sz w:val="24"/>
          <w:highlight w:val="none"/>
          <w:lang w:val="en-US" w:eastAsia="zh-CN"/>
        </w:rPr>
        <w:t>前一估值日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发生</w:t>
      </w:r>
      <w:r>
        <w:rPr>
          <w:rFonts w:hint="eastAsia" w:ascii="宋体" w:hAnsi="宋体" w:cs="宋体"/>
          <w:bCs/>
          <w:sz w:val="24"/>
          <w:highlight w:val="none"/>
          <w:lang w:eastAsia="zh-CN"/>
        </w:rPr>
        <w:t>产品说明书约定的暂停估值的情形时。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发生以下情形，管理人对已接受的赎回申请，可延期支付赎回款项：</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因</w:t>
      </w:r>
      <w:r>
        <w:rPr>
          <w:rFonts w:hint="eastAsia" w:ascii="宋体" w:hAnsi="宋体" w:cs="宋体"/>
          <w:bCs/>
          <w:sz w:val="24"/>
          <w:highlight w:val="none"/>
          <w:lang w:val="en-US" w:eastAsia="zh-CN"/>
        </w:rPr>
        <w:t>不可抗力等原因，导致管理人接受赎回申请后无法及时兑付的情形时。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连续</w:t>
      </w:r>
      <w:r>
        <w:rPr>
          <w:rFonts w:hint="default" w:ascii="宋体" w:hAnsi="宋体" w:cs="宋体"/>
          <w:bCs/>
          <w:sz w:val="24"/>
          <w:highlight w:val="none"/>
          <w:lang w:val="en-US" w:eastAsia="zh-CN"/>
        </w:rPr>
        <w:t>2</w:t>
      </w:r>
      <w:r>
        <w:rPr>
          <w:rFonts w:hint="eastAsia" w:ascii="宋体" w:hAnsi="宋体" w:cs="宋体"/>
          <w:bCs/>
          <w:sz w:val="24"/>
          <w:highlight w:val="none"/>
          <w:lang w:val="en-US" w:eastAsia="zh-CN"/>
        </w:rPr>
        <w:t>日</w:t>
      </w:r>
      <w:r>
        <w:rPr>
          <w:rFonts w:hint="default" w:ascii="宋体" w:hAnsi="宋体" w:cs="宋体"/>
          <w:bCs/>
          <w:sz w:val="24"/>
          <w:highlight w:val="none"/>
          <w:lang w:val="en-US" w:eastAsia="zh-CN"/>
        </w:rPr>
        <w:t>（含）以上开放日发生巨额赎回的</w:t>
      </w:r>
      <w:r>
        <w:rPr>
          <w:rFonts w:hint="eastAsia" w:ascii="宋体" w:hAnsi="宋体" w:cs="宋体"/>
          <w:bCs/>
          <w:sz w:val="24"/>
          <w:highlight w:val="none"/>
          <w:lang w:val="en-US" w:eastAsia="zh-CN"/>
        </w:rPr>
        <w:t>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当前</w:t>
      </w:r>
      <w:r>
        <w:rPr>
          <w:rFonts w:hint="default" w:ascii="宋体" w:hAnsi="宋体" w:cs="宋体"/>
          <w:bCs/>
          <w:sz w:val="24"/>
          <w:highlight w:val="none"/>
          <w:lang w:val="en-US" w:eastAsia="zh-CN"/>
        </w:rPr>
        <w:t>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法律法规规定或监管机构认定的其他情形。</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bCs/>
          <w:kern w:val="2"/>
          <w:sz w:val="24"/>
          <w:szCs w:val="24"/>
          <w:highlight w:val="none"/>
          <w:lang w:val="en-US" w:eastAsia="zh-CN" w:bidi="ar-SA"/>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3</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kern w:val="2"/>
          <w:sz w:val="24"/>
          <w:szCs w:val="24"/>
          <w:highlight w:val="none"/>
          <w:lang w:val="en-US" w:eastAsia="zh-CN" w:bidi="ar-SA"/>
        </w:rPr>
        <w:t>1</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CN"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信息披露</w:t>
      </w:r>
    </w:p>
    <w:p>
      <w:pPr>
        <w:numPr>
          <w:ilvl w:val="0"/>
          <w:numId w:val="57"/>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5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59"/>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6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理财计划净值：管理人应在理财计划成立后，每个开放确认日后</w:t>
      </w:r>
      <w:r>
        <w:rPr>
          <w:rFonts w:hint="eastAsia" w:ascii="宋体" w:hAnsi="宋体" w:cs="宋体"/>
          <w:bCs/>
          <w:color w:val="000000"/>
          <w:sz w:val="24"/>
          <w:highlight w:val="none"/>
          <w:lang w:val="en-US" w:eastAsia="zh-CN"/>
        </w:rPr>
        <w:t>2</w:t>
      </w:r>
      <w:r>
        <w:rPr>
          <w:rFonts w:hint="eastAsia" w:ascii="宋体" w:hAnsi="宋体" w:cs="宋体"/>
          <w:bCs/>
          <w:color w:val="000000"/>
          <w:sz w:val="24"/>
          <w:highlight w:val="none"/>
        </w:rPr>
        <w:t>个工作日内披露本理财计划净值。</w:t>
      </w:r>
      <w:r>
        <w:rPr>
          <w:rFonts w:hint="eastAsia" w:ascii="宋体" w:hAnsi="宋体" w:cs="宋体"/>
          <w:bCs/>
          <w:color w:val="000000"/>
          <w:sz w:val="24"/>
          <w:highlight w:val="none"/>
          <w:lang w:eastAsia="zh-CN"/>
        </w:rPr>
        <w:t>公募开放式产品至少每周披露净值。</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6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lang w:eastAsia="zh-CN"/>
        </w:rPr>
        <w:t>应在发生可能对理财计划投资者或者理财计划收益产</w:t>
      </w:r>
      <w:r>
        <w:rPr>
          <w:rFonts w:hint="eastAsia" w:ascii="宋体" w:hAnsi="宋体" w:cs="宋体"/>
          <w:bCs/>
          <w:color w:val="000000"/>
          <w:sz w:val="24"/>
          <w:highlight w:val="none"/>
        </w:rPr>
        <w:t>生重大事项的事件后2个工作日内发布重大事项公告。</w:t>
      </w:r>
    </w:p>
    <w:p>
      <w:pPr>
        <w:numPr>
          <w:ilvl w:val="0"/>
          <w:numId w:val="6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57"/>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其他</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
          <w:bCs/>
          <w:color w:val="000000"/>
          <w:sz w:val="44"/>
          <w:szCs w:val="4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3"/>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65"/>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20"/>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66"/>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70"/>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70"/>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7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4"/>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7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fldChar w:fldCharType="begin"/>
      </w:r>
      <w:r>
        <w:instrText xml:space="preserve"> HYPERLINK "http://www.hzbankwealth.cn" </w:instrText>
      </w:r>
      <w:r>
        <w:fldChar w:fldCharType="separate"/>
      </w:r>
      <w:r>
        <w:rPr>
          <w:rStyle w:val="14"/>
          <w:rFonts w:hint="eastAsia" w:ascii="宋体" w:hAnsi="宋体" w:cs="宋体"/>
          <w:color w:val="auto"/>
          <w:kern w:val="0"/>
          <w:sz w:val="24"/>
          <w:highlight w:val="none"/>
          <w:u w:val="none"/>
          <w:lang w:val="en-US" w:eastAsia="zh-CN"/>
        </w:rPr>
        <w:t>www.hzbank.com.cn</w:t>
      </w:r>
      <w:r>
        <w:rPr>
          <w:rStyle w:val="14"/>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r>
        <w:rPr>
          <w:rFonts w:ascii="宋体" w:hAnsi="宋体" w:cs="宋体"/>
          <w:bCs/>
          <w:color w:val="000000"/>
          <w:sz w:val="24"/>
          <w:highlight w:val="none"/>
        </w:rPr>
        <w:br w:type="page"/>
      </w:r>
    </w:p>
    <w:p>
      <w:pPr>
        <w:jc w:val="center"/>
        <w:outlineLvl w:val="9"/>
        <w:rPr>
          <w:rFonts w:hint="eastAsia"/>
          <w:b/>
          <w:sz w:val="44"/>
          <w:szCs w:val="44"/>
          <w:highlight w:val="none"/>
        </w:rPr>
      </w:pP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72"/>
        </w:numPr>
        <w:spacing w:line="360" w:lineRule="auto"/>
        <w:ind w:firstLine="482" w:firstLineChars="200"/>
        <w:outlineLvl w:val="9"/>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投资者权利与义务</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管理人权利与义务</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74"/>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理财计划认（申）购、赎回及终止</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5"/>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违约责任及免责条款</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72"/>
        </w:numPr>
        <w:spacing w:line="360" w:lineRule="auto"/>
        <w:ind w:firstLine="482" w:firstLineChars="200"/>
        <w:outlineLvl w:val="9"/>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协议生效和终止</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72"/>
        </w:numPr>
        <w:spacing w:line="360" w:lineRule="auto"/>
        <w:ind w:firstLine="482" w:firstLineChars="200"/>
        <w:outlineLvl w:val="9"/>
        <w:rPr>
          <w:b/>
          <w:sz w:val="24"/>
          <w:highlight w:val="none"/>
        </w:rPr>
      </w:pPr>
      <w:r>
        <w:rPr>
          <w:rFonts w:hint="eastAsia"/>
          <w:b/>
          <w:sz w:val="24"/>
          <w:highlight w:val="none"/>
        </w:rPr>
        <w:t>附则</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9"/>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p>
      <w:pPr>
        <w:pageBreakBefore/>
        <w:widowControl/>
        <w:spacing w:line="120" w:lineRule="auto"/>
        <w:jc w:val="center"/>
        <w:outlineLvl w:val="9"/>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79"/>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79"/>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color w:val="000000"/>
          <w:sz w:val="24"/>
          <w:highlight w:val="none"/>
          <w:lang w:val="en-US" w:eastAsia="zh-CN"/>
        </w:rPr>
        <w:t>代理销售机构非本计划的发行、管理机构，对本计划的业绩不承担任何保证和其他经济责任，不承担本计划的投资和兑付管理责任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58240"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4">
    <w:nsid w:val="8906C252"/>
    <w:multiLevelType w:val="singleLevel"/>
    <w:tmpl w:val="8906C252"/>
    <w:lvl w:ilvl="0" w:tentative="0">
      <w:start w:val="1"/>
      <w:numFmt w:val="decimal"/>
      <w:suff w:val="nothing"/>
      <w:lvlText w:val="（%1）"/>
      <w:lvlJc w:val="left"/>
      <w:rPr>
        <w:rFonts w:hint="default"/>
        <w:b w:val="0"/>
        <w:bCs w:val="0"/>
      </w:rPr>
    </w:lvl>
  </w:abstractNum>
  <w:abstractNum w:abstractNumId="5">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8">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9">
    <w:nsid w:val="BFFAB472"/>
    <w:multiLevelType w:val="multilevel"/>
    <w:tmpl w:val="BFFAB472"/>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0">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1">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2">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3">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4">
    <w:nsid w:val="D8D75090"/>
    <w:multiLevelType w:val="singleLevel"/>
    <w:tmpl w:val="D8D75090"/>
    <w:lvl w:ilvl="0" w:tentative="0">
      <w:start w:val="1"/>
      <w:numFmt w:val="decimal"/>
      <w:suff w:val="nothing"/>
      <w:lvlText w:val="（%1）"/>
      <w:lvlJc w:val="left"/>
      <w:rPr>
        <w:rFonts w:hint="default"/>
        <w:b w:val="0"/>
        <w:bCs w:val="0"/>
      </w:rPr>
    </w:lvl>
  </w:abstractNum>
  <w:abstractNum w:abstractNumId="25">
    <w:nsid w:val="DD2251DF"/>
    <w:multiLevelType w:val="singleLevel"/>
    <w:tmpl w:val="DD2251DF"/>
    <w:lvl w:ilvl="0" w:tentative="0">
      <w:start w:val="1"/>
      <w:numFmt w:val="decimal"/>
      <w:suff w:val="nothing"/>
      <w:lvlText w:val="（%1）"/>
      <w:lvlJc w:val="left"/>
      <w:rPr>
        <w:rFonts w:hint="default"/>
        <w:b w:val="0"/>
        <w:bCs w:val="0"/>
      </w:rPr>
    </w:lvl>
  </w:abstractNum>
  <w:abstractNum w:abstractNumId="26">
    <w:nsid w:val="E20DF07A"/>
    <w:multiLevelType w:val="singleLevel"/>
    <w:tmpl w:val="E20DF07A"/>
    <w:lvl w:ilvl="0" w:tentative="0">
      <w:start w:val="1"/>
      <w:numFmt w:val="chineseCounting"/>
      <w:suff w:val="nothing"/>
      <w:lvlText w:val="（%1）"/>
      <w:lvlJc w:val="left"/>
      <w:pPr>
        <w:ind w:left="0" w:firstLine="420"/>
      </w:pPr>
      <w:rPr>
        <w:rFonts w:hint="eastAsia"/>
        <w:b/>
        <w:bCs/>
      </w:rPr>
    </w:lvl>
  </w:abstractNum>
  <w:abstractNum w:abstractNumId="27">
    <w:nsid w:val="E70DF796"/>
    <w:multiLevelType w:val="singleLevel"/>
    <w:tmpl w:val="E70DF796"/>
    <w:lvl w:ilvl="0" w:tentative="0">
      <w:start w:val="1"/>
      <w:numFmt w:val="decimal"/>
      <w:suff w:val="nothing"/>
      <w:lvlText w:val="（%1）"/>
      <w:lvlJc w:val="left"/>
    </w:lvl>
  </w:abstractNum>
  <w:abstractNum w:abstractNumId="28">
    <w:nsid w:val="EED9DB58"/>
    <w:multiLevelType w:val="multilevel"/>
    <w:tmpl w:val="EED9DB58"/>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9">
    <w:nsid w:val="EFF37F09"/>
    <w:multiLevelType w:val="singleLevel"/>
    <w:tmpl w:val="EFF37F09"/>
    <w:lvl w:ilvl="0" w:tentative="0">
      <w:start w:val="1"/>
      <w:numFmt w:val="decimal"/>
      <w:suff w:val="nothing"/>
      <w:lvlText w:val="（%1）"/>
      <w:lvlJc w:val="left"/>
      <w:rPr>
        <w:rFonts w:hint="default"/>
        <w:b w:val="0"/>
        <w:bCs w:val="0"/>
      </w:rPr>
    </w:lvl>
  </w:abstractNum>
  <w:abstractNum w:abstractNumId="30">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1">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2">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3">
    <w:nsid w:val="F574F5B6"/>
    <w:multiLevelType w:val="singleLevel"/>
    <w:tmpl w:val="F574F5B6"/>
    <w:lvl w:ilvl="0" w:tentative="0">
      <w:start w:val="1"/>
      <w:numFmt w:val="decimal"/>
      <w:suff w:val="nothing"/>
      <w:lvlText w:val="（%1）"/>
      <w:lvlJc w:val="left"/>
    </w:lvl>
  </w:abstractNum>
  <w:abstractNum w:abstractNumId="3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5">
    <w:nsid w:val="FBBA18C3"/>
    <w:multiLevelType w:val="singleLevel"/>
    <w:tmpl w:val="FBBA18C3"/>
    <w:lvl w:ilvl="0" w:tentative="0">
      <w:start w:val="1"/>
      <w:numFmt w:val="decimal"/>
      <w:lvlText w:val="%1."/>
      <w:lvlJc w:val="left"/>
      <w:pPr>
        <w:tabs>
          <w:tab w:val="left" w:pos="312"/>
        </w:tabs>
      </w:pPr>
      <w:rPr>
        <w:rFonts w:hint="default"/>
        <w:b w:val="0"/>
        <w:bCs w:val="0"/>
        <w:highlight w:val="none"/>
      </w:rPr>
    </w:lvl>
  </w:abstractNum>
  <w:abstractNum w:abstractNumId="3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7">
    <w:nsid w:val="084A6179"/>
    <w:multiLevelType w:val="singleLevel"/>
    <w:tmpl w:val="084A6179"/>
    <w:lvl w:ilvl="0" w:tentative="0">
      <w:start w:val="1"/>
      <w:numFmt w:val="decimal"/>
      <w:suff w:val="nothing"/>
      <w:lvlText w:val="（%1）"/>
      <w:lvlJc w:val="left"/>
      <w:rPr>
        <w:rFonts w:hint="default"/>
        <w:highlight w:val="none"/>
      </w:rPr>
    </w:lvl>
  </w:abstractNum>
  <w:abstractNum w:abstractNumId="38">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9">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0">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1">
    <w:nsid w:val="167B0BB4"/>
    <w:multiLevelType w:val="singleLevel"/>
    <w:tmpl w:val="167B0BB4"/>
    <w:lvl w:ilvl="0" w:tentative="0">
      <w:start w:val="1"/>
      <w:numFmt w:val="decimal"/>
      <w:suff w:val="nothing"/>
      <w:lvlText w:val="（%1）"/>
      <w:lvlJc w:val="left"/>
    </w:lvl>
  </w:abstractNum>
  <w:abstractNum w:abstractNumId="42">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4">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5">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6">
    <w:nsid w:val="2CB63BE6"/>
    <w:multiLevelType w:val="singleLevel"/>
    <w:tmpl w:val="2CB63BE6"/>
    <w:lvl w:ilvl="0" w:tentative="0">
      <w:start w:val="1"/>
      <w:numFmt w:val="decimal"/>
      <w:suff w:val="nothing"/>
      <w:lvlText w:val="（%1）"/>
      <w:lvlJc w:val="left"/>
      <w:rPr>
        <w:rFonts w:hint="default"/>
        <w:b w:val="0"/>
        <w:bCs w:val="0"/>
      </w:rPr>
    </w:lvl>
  </w:abstractNum>
  <w:abstractNum w:abstractNumId="47">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8">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9">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0">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1">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2">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3">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4">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5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9">
    <w:nsid w:val="5BA91325"/>
    <w:multiLevelType w:val="singleLevel"/>
    <w:tmpl w:val="5BA91325"/>
    <w:lvl w:ilvl="0" w:tentative="0">
      <w:start w:val="1"/>
      <w:numFmt w:val="decimal"/>
      <w:suff w:val="nothing"/>
      <w:lvlText w:val="（%1）"/>
      <w:lvlJc w:val="left"/>
    </w:lvl>
  </w:abstractNum>
  <w:abstractNum w:abstractNumId="6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6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6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4">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7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7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7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0">
    <w:nsid w:val="61F30F62"/>
    <w:multiLevelType w:val="singleLevel"/>
    <w:tmpl w:val="61F30F62"/>
    <w:lvl w:ilvl="0" w:tentative="0">
      <w:start w:val="1"/>
      <w:numFmt w:val="decimal"/>
      <w:suff w:val="nothing"/>
      <w:lvlText w:val="（%1）"/>
      <w:lvlJc w:val="left"/>
      <w:rPr>
        <w:rFonts w:hint="default"/>
        <w:b w:val="0"/>
        <w:bCs w:val="0"/>
      </w:rPr>
    </w:lvl>
  </w:abstractNum>
  <w:abstractNum w:abstractNumId="81">
    <w:nsid w:val="69C07A9C"/>
    <w:multiLevelType w:val="singleLevel"/>
    <w:tmpl w:val="69C07A9C"/>
    <w:lvl w:ilvl="0" w:tentative="0">
      <w:start w:val="1"/>
      <w:numFmt w:val="lowerLetter"/>
      <w:suff w:val="space"/>
      <w:lvlText w:val="%1."/>
      <w:lvlJc w:val="left"/>
    </w:lvl>
  </w:abstractNum>
  <w:abstractNum w:abstractNumId="82">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3">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4">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1"/>
  </w:num>
  <w:num w:numId="3">
    <w:abstractNumId w:val="51"/>
  </w:num>
  <w:num w:numId="4">
    <w:abstractNumId w:val="43"/>
  </w:num>
  <w:num w:numId="5">
    <w:abstractNumId w:val="19"/>
  </w:num>
  <w:num w:numId="6">
    <w:abstractNumId w:val="83"/>
  </w:num>
  <w:num w:numId="7">
    <w:abstractNumId w:val="38"/>
  </w:num>
  <w:num w:numId="8">
    <w:abstractNumId w:val="84"/>
  </w:num>
  <w:num w:numId="9">
    <w:abstractNumId w:val="57"/>
  </w:num>
  <w:num w:numId="10">
    <w:abstractNumId w:val="53"/>
  </w:num>
  <w:num w:numId="11">
    <w:abstractNumId w:val="34"/>
  </w:num>
  <w:num w:numId="12">
    <w:abstractNumId w:val="31"/>
  </w:num>
  <w:num w:numId="13">
    <w:abstractNumId w:val="39"/>
  </w:num>
  <w:num w:numId="14">
    <w:abstractNumId w:val="30"/>
  </w:num>
  <w:num w:numId="15">
    <w:abstractNumId w:val="21"/>
  </w:num>
  <w:num w:numId="16">
    <w:abstractNumId w:val="11"/>
  </w:num>
  <w:num w:numId="17">
    <w:abstractNumId w:val="17"/>
  </w:num>
  <w:num w:numId="18">
    <w:abstractNumId w:val="8"/>
  </w:num>
  <w:num w:numId="19">
    <w:abstractNumId w:val="9"/>
  </w:num>
  <w:num w:numId="20">
    <w:abstractNumId w:val="7"/>
  </w:num>
  <w:num w:numId="21">
    <w:abstractNumId w:val="35"/>
  </w:num>
  <w:num w:numId="22">
    <w:abstractNumId w:val="52"/>
  </w:num>
  <w:num w:numId="23">
    <w:abstractNumId w:val="33"/>
  </w:num>
  <w:num w:numId="24">
    <w:abstractNumId w:val="54"/>
  </w:num>
  <w:num w:numId="25">
    <w:abstractNumId w:val="59"/>
  </w:num>
  <w:num w:numId="26">
    <w:abstractNumId w:val="81"/>
  </w:num>
  <w:num w:numId="27">
    <w:abstractNumId w:val="45"/>
  </w:num>
  <w:num w:numId="28">
    <w:abstractNumId w:val="20"/>
  </w:num>
  <w:num w:numId="29">
    <w:abstractNumId w:val="44"/>
  </w:num>
  <w:num w:numId="30">
    <w:abstractNumId w:val="23"/>
  </w:num>
  <w:num w:numId="31">
    <w:abstractNumId w:val="6"/>
  </w:num>
  <w:num w:numId="32">
    <w:abstractNumId w:val="56"/>
  </w:num>
  <w:num w:numId="33">
    <w:abstractNumId w:val="5"/>
  </w:num>
  <w:num w:numId="34">
    <w:abstractNumId w:val="37"/>
  </w:num>
  <w:num w:numId="35">
    <w:abstractNumId w:val="42"/>
  </w:num>
  <w:num w:numId="36">
    <w:abstractNumId w:val="82"/>
  </w:num>
  <w:num w:numId="37">
    <w:abstractNumId w:val="36"/>
  </w:num>
  <w:num w:numId="38">
    <w:abstractNumId w:val="22"/>
  </w:num>
  <w:num w:numId="39">
    <w:abstractNumId w:val="47"/>
  </w:num>
  <w:num w:numId="40">
    <w:abstractNumId w:val="0"/>
  </w:num>
  <w:num w:numId="41">
    <w:abstractNumId w:val="25"/>
  </w:num>
  <w:num w:numId="42">
    <w:abstractNumId w:val="50"/>
  </w:num>
  <w:num w:numId="43">
    <w:abstractNumId w:val="3"/>
  </w:num>
  <w:num w:numId="44">
    <w:abstractNumId w:val="26"/>
  </w:num>
  <w:num w:numId="45">
    <w:abstractNumId w:val="28"/>
  </w:num>
  <w:num w:numId="46">
    <w:abstractNumId w:val="55"/>
  </w:num>
  <w:num w:numId="47">
    <w:abstractNumId w:val="40"/>
  </w:num>
  <w:num w:numId="48">
    <w:abstractNumId w:val="18"/>
  </w:num>
  <w:num w:numId="49">
    <w:abstractNumId w:val="32"/>
  </w:num>
  <w:num w:numId="50">
    <w:abstractNumId w:val="27"/>
  </w:num>
  <w:num w:numId="51">
    <w:abstractNumId w:val="29"/>
  </w:num>
  <w:num w:numId="52">
    <w:abstractNumId w:val="80"/>
  </w:num>
  <w:num w:numId="53">
    <w:abstractNumId w:val="46"/>
  </w:num>
  <w:num w:numId="54">
    <w:abstractNumId w:val="2"/>
  </w:num>
  <w:num w:numId="55">
    <w:abstractNumId w:val="58"/>
  </w:num>
  <w:num w:numId="56">
    <w:abstractNumId w:val="12"/>
  </w:num>
  <w:num w:numId="57">
    <w:abstractNumId w:val="10"/>
  </w:num>
  <w:num w:numId="58">
    <w:abstractNumId w:val="13"/>
  </w:num>
  <w:num w:numId="59">
    <w:abstractNumId w:val="41"/>
  </w:num>
  <w:num w:numId="60">
    <w:abstractNumId w:val="24"/>
  </w:num>
  <w:num w:numId="61">
    <w:abstractNumId w:val="4"/>
  </w:num>
  <w:num w:numId="62">
    <w:abstractNumId w:val="49"/>
  </w:num>
  <w:num w:numId="63">
    <w:abstractNumId w:val="67"/>
  </w:num>
  <w:num w:numId="64">
    <w:abstractNumId w:val="66"/>
  </w:num>
  <w:num w:numId="65">
    <w:abstractNumId w:val="68"/>
  </w:num>
  <w:num w:numId="66">
    <w:abstractNumId w:val="69"/>
  </w:num>
  <w:num w:numId="67">
    <w:abstractNumId w:val="70"/>
  </w:num>
  <w:num w:numId="68">
    <w:abstractNumId w:val="71"/>
  </w:num>
  <w:num w:numId="69">
    <w:abstractNumId w:val="72"/>
  </w:num>
  <w:num w:numId="70">
    <w:abstractNumId w:val="73"/>
  </w:num>
  <w:num w:numId="71">
    <w:abstractNumId w:val="48"/>
  </w:num>
  <w:num w:numId="72">
    <w:abstractNumId w:val="16"/>
  </w:num>
  <w:num w:numId="73">
    <w:abstractNumId w:val="60"/>
  </w:num>
  <w:num w:numId="74">
    <w:abstractNumId w:val="61"/>
  </w:num>
  <w:num w:numId="75">
    <w:abstractNumId w:val="62"/>
  </w:num>
  <w:num w:numId="76">
    <w:abstractNumId w:val="63"/>
  </w:num>
  <w:num w:numId="77">
    <w:abstractNumId w:val="64"/>
  </w:num>
  <w:num w:numId="78">
    <w:abstractNumId w:val="65"/>
  </w:num>
  <w:num w:numId="79">
    <w:abstractNumId w:val="74"/>
  </w:num>
  <w:num w:numId="80">
    <w:abstractNumId w:val="75"/>
  </w:num>
  <w:num w:numId="81">
    <w:abstractNumId w:val="15"/>
  </w:num>
  <w:num w:numId="82">
    <w:abstractNumId w:val="76"/>
  </w:num>
  <w:num w:numId="83">
    <w:abstractNumId w:val="77"/>
  </w:num>
  <w:num w:numId="84">
    <w:abstractNumId w:val="78"/>
  </w:num>
  <w:num w:numId="85">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0EB77D15"/>
    <w:rsid w:val="0F6D2F4F"/>
    <w:rsid w:val="0FFB8BAD"/>
    <w:rsid w:val="10E7747B"/>
    <w:rsid w:val="10F25E29"/>
    <w:rsid w:val="11FA0C01"/>
    <w:rsid w:val="128B25FE"/>
    <w:rsid w:val="12DA17D8"/>
    <w:rsid w:val="15862C7E"/>
    <w:rsid w:val="164976A9"/>
    <w:rsid w:val="178D1D7E"/>
    <w:rsid w:val="17CFB46B"/>
    <w:rsid w:val="17EA7887"/>
    <w:rsid w:val="18321B09"/>
    <w:rsid w:val="18616AA2"/>
    <w:rsid w:val="191F0F43"/>
    <w:rsid w:val="19E235E1"/>
    <w:rsid w:val="1A7E4CCF"/>
    <w:rsid w:val="1BCD72C9"/>
    <w:rsid w:val="1BDEE92B"/>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D3FA85E"/>
    <w:rsid w:val="2E16D822"/>
    <w:rsid w:val="2EAD6691"/>
    <w:rsid w:val="2F0D25D9"/>
    <w:rsid w:val="2FA97CB8"/>
    <w:rsid w:val="2FFF877F"/>
    <w:rsid w:val="3086176D"/>
    <w:rsid w:val="31124CF4"/>
    <w:rsid w:val="31A3269E"/>
    <w:rsid w:val="31BC4AB1"/>
    <w:rsid w:val="322D08A3"/>
    <w:rsid w:val="32626F15"/>
    <w:rsid w:val="329E36D6"/>
    <w:rsid w:val="34105616"/>
    <w:rsid w:val="3486580A"/>
    <w:rsid w:val="34A35A92"/>
    <w:rsid w:val="34A453A9"/>
    <w:rsid w:val="34EC3C25"/>
    <w:rsid w:val="351A5D92"/>
    <w:rsid w:val="35AA025C"/>
    <w:rsid w:val="35CA7D73"/>
    <w:rsid w:val="377307FA"/>
    <w:rsid w:val="37F449A0"/>
    <w:rsid w:val="3B1C12F3"/>
    <w:rsid w:val="3BD53B5C"/>
    <w:rsid w:val="3BFFCC6D"/>
    <w:rsid w:val="3CC57F13"/>
    <w:rsid w:val="3D4C282D"/>
    <w:rsid w:val="3D970F4E"/>
    <w:rsid w:val="3DE106C6"/>
    <w:rsid w:val="3E540971"/>
    <w:rsid w:val="3E786275"/>
    <w:rsid w:val="3E931F0D"/>
    <w:rsid w:val="3F7E2660"/>
    <w:rsid w:val="3FA31FDD"/>
    <w:rsid w:val="3FFA261A"/>
    <w:rsid w:val="40A430BB"/>
    <w:rsid w:val="40DE6A67"/>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BF988C8"/>
    <w:rsid w:val="4CC51C60"/>
    <w:rsid w:val="4D3204EA"/>
    <w:rsid w:val="4D697EB1"/>
    <w:rsid w:val="4DFF95C2"/>
    <w:rsid w:val="4E08799D"/>
    <w:rsid w:val="4E2B414A"/>
    <w:rsid w:val="4F5679CC"/>
    <w:rsid w:val="501840BA"/>
    <w:rsid w:val="52B042C0"/>
    <w:rsid w:val="53827B5D"/>
    <w:rsid w:val="53E86B53"/>
    <w:rsid w:val="54D66C67"/>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606677EA"/>
    <w:rsid w:val="60F34C3C"/>
    <w:rsid w:val="617668BD"/>
    <w:rsid w:val="61D01645"/>
    <w:rsid w:val="63723353"/>
    <w:rsid w:val="64164D78"/>
    <w:rsid w:val="64993141"/>
    <w:rsid w:val="659F27EB"/>
    <w:rsid w:val="659F600E"/>
    <w:rsid w:val="66D37A2C"/>
    <w:rsid w:val="67CE6661"/>
    <w:rsid w:val="680A5A06"/>
    <w:rsid w:val="68B9403E"/>
    <w:rsid w:val="68D511B9"/>
    <w:rsid w:val="68FA6041"/>
    <w:rsid w:val="69827CEE"/>
    <w:rsid w:val="699E5049"/>
    <w:rsid w:val="6BDE71F2"/>
    <w:rsid w:val="6C9577EB"/>
    <w:rsid w:val="6CBA3A99"/>
    <w:rsid w:val="6D3A1203"/>
    <w:rsid w:val="6D7F6733"/>
    <w:rsid w:val="6E9C369D"/>
    <w:rsid w:val="6EF41B11"/>
    <w:rsid w:val="6FB17196"/>
    <w:rsid w:val="6FF5AEDC"/>
    <w:rsid w:val="702573F3"/>
    <w:rsid w:val="706E8E93"/>
    <w:rsid w:val="70B57531"/>
    <w:rsid w:val="70FA499F"/>
    <w:rsid w:val="713B571A"/>
    <w:rsid w:val="730C182D"/>
    <w:rsid w:val="737FFDFA"/>
    <w:rsid w:val="73FC9A3F"/>
    <w:rsid w:val="751974A1"/>
    <w:rsid w:val="758B30E4"/>
    <w:rsid w:val="75F42331"/>
    <w:rsid w:val="761F7C3C"/>
    <w:rsid w:val="76683D2A"/>
    <w:rsid w:val="76C62D9E"/>
    <w:rsid w:val="779F8057"/>
    <w:rsid w:val="78244617"/>
    <w:rsid w:val="7A923507"/>
    <w:rsid w:val="7ACB640D"/>
    <w:rsid w:val="7BFF1A29"/>
    <w:rsid w:val="7C044D89"/>
    <w:rsid w:val="7C63442B"/>
    <w:rsid w:val="7C7C3745"/>
    <w:rsid w:val="7D3AA22F"/>
    <w:rsid w:val="7D546952"/>
    <w:rsid w:val="7D56646C"/>
    <w:rsid w:val="7DE35ECA"/>
    <w:rsid w:val="7DEFCC9B"/>
    <w:rsid w:val="7E1A0C5A"/>
    <w:rsid w:val="7E3212D3"/>
    <w:rsid w:val="7F365A97"/>
    <w:rsid w:val="7F5E9C1F"/>
    <w:rsid w:val="7F5F887D"/>
    <w:rsid w:val="7FCC7D05"/>
    <w:rsid w:val="7FEF42B8"/>
    <w:rsid w:val="7FF7EB2D"/>
    <w:rsid w:val="7FFF0B3B"/>
    <w:rsid w:val="9FD01BC3"/>
    <w:rsid w:val="AF77296E"/>
    <w:rsid w:val="B3FE25BF"/>
    <w:rsid w:val="B73EB5C4"/>
    <w:rsid w:val="BE6E0F8F"/>
    <w:rsid w:val="C38B20D8"/>
    <w:rsid w:val="C679D4D5"/>
    <w:rsid w:val="CA7F3105"/>
    <w:rsid w:val="D3FFF2E3"/>
    <w:rsid w:val="D4B948F0"/>
    <w:rsid w:val="D4F43AA8"/>
    <w:rsid w:val="D7BE90C3"/>
    <w:rsid w:val="D8BF47B9"/>
    <w:rsid w:val="DAD376E4"/>
    <w:rsid w:val="DB7AB19E"/>
    <w:rsid w:val="DDFE51CF"/>
    <w:rsid w:val="E97E32AA"/>
    <w:rsid w:val="F3C7F184"/>
    <w:rsid w:val="F3F331A4"/>
    <w:rsid w:val="F3FE7E0E"/>
    <w:rsid w:val="F3FF81F7"/>
    <w:rsid w:val="F7FE62B6"/>
    <w:rsid w:val="FA543BA3"/>
    <w:rsid w:val="FAFAB10D"/>
    <w:rsid w:val="FAFDECFA"/>
    <w:rsid w:val="FB3B5DB3"/>
    <w:rsid w:val="FBFDB4E3"/>
    <w:rsid w:val="FBFF3395"/>
    <w:rsid w:val="FD7F9463"/>
    <w:rsid w:val="FDFC361F"/>
    <w:rsid w:val="FDFD5128"/>
    <w:rsid w:val="FE7F1378"/>
    <w:rsid w:val="FE8FD80F"/>
    <w:rsid w:val="FEAED78B"/>
    <w:rsid w:val="FEFEE1B7"/>
    <w:rsid w:val="FF4BD653"/>
    <w:rsid w:val="FF6C6882"/>
    <w:rsid w:val="FF9B23B1"/>
    <w:rsid w:val="FFFEC61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character" w:customStyle="1" w:styleId="16">
    <w:name w:val="批注文字 字符"/>
    <w:link w:val="5"/>
    <w:uiPriority w:val="0"/>
    <w:rPr>
      <w:rFonts w:ascii="Calibri" w:hAnsi="Calibri" w:cs="黑体"/>
      <w:kern w:val="2"/>
      <w:sz w:val="21"/>
      <w:szCs w:val="24"/>
    </w:rPr>
  </w:style>
  <w:style w:type="character" w:customStyle="1" w:styleId="17">
    <w:name w:val="批注框文本 字符"/>
    <w:link w:val="6"/>
    <w:uiPriority w:val="0"/>
    <w:rPr>
      <w:rFonts w:ascii="Calibri" w:hAnsi="Calibri" w:cs="黑体"/>
      <w:kern w:val="2"/>
      <w:sz w:val="18"/>
      <w:szCs w:val="18"/>
    </w:rPr>
  </w:style>
  <w:style w:type="character" w:customStyle="1" w:styleId="18">
    <w:name w:val="批注主题 字符"/>
    <w:link w:val="10"/>
    <w:uiPriority w:val="0"/>
    <w:rPr>
      <w:rFonts w:ascii="Calibri" w:hAnsi="Calibri" w:cs="黑体"/>
      <w:b/>
      <w:bCs/>
      <w:kern w:val="2"/>
      <w:sz w:val="21"/>
      <w:szCs w:val="24"/>
    </w:rPr>
  </w:style>
  <w:style w:type="paragraph" w:customStyle="1" w:styleId="19">
    <w:name w:val="List Paragraph"/>
    <w:basedOn w:val="1"/>
    <w:unhideWhenUsed/>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uiPriority w:val="0"/>
    <w:rPr>
      <w:rFonts w:ascii="Calibri" w:hAnsi="Calibri" w:cs="黑体"/>
      <w:b/>
      <w:bCs/>
      <w:kern w:val="2"/>
      <w:sz w:val="21"/>
      <w:szCs w:val="24"/>
    </w:rPr>
  </w:style>
  <w:style w:type="character" w:customStyle="1" w:styleId="23">
    <w:name w:val="批注框文本 Char"/>
    <w:link w:val="6"/>
    <w:uiPriority w:val="0"/>
    <w:rPr>
      <w:rFonts w:ascii="Calibri" w:hAnsi="Calibri" w:cs="黑体"/>
      <w:kern w:val="2"/>
      <w:sz w:val="18"/>
      <w:szCs w:val="18"/>
    </w:rPr>
  </w:style>
  <w:style w:type="paragraph" w:customStyle="1" w:styleId="24">
    <w:name w:val="样式1"/>
    <w:basedOn w:val="1"/>
    <w:next w:val="1"/>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40510</Words>
  <Characters>43550</Characters>
  <Lines>1</Lines>
  <Paragraphs>1</Paragraphs>
  <TotalTime>0</TotalTime>
  <ScaleCrop>false</ScaleCrop>
  <LinksUpToDate>false</LinksUpToDate>
  <CharactersWithSpaces>43895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2026-05-29T06:07:46Z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1E1A7A770C00C012C8CE7969A5D56A43_43</vt:lpwstr>
  </property>
  <property fmtid="{D5CDD505-2E9C-101B-9397-08002B2CF9AE}" pid="3" name="KSOProductBuildVer">
    <vt:lpwstr>2052-11.8.2.8411</vt:lpwstr>
  </property>
</Properties>
</file>