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after="72" w:line="360" w:lineRule="auto"/>
        <w:rPr>
          <w:rFonts w:asciiTheme="minorEastAsia" w:hAnsiTheme="minorEastAsia" w:eastAsiaTheme="minorEastAsia"/>
        </w:rPr>
      </w:pPr>
    </w:p>
    <w:p>
      <w:pPr>
        <w:spacing w:before="240" w:after="72" w:line="360" w:lineRule="auto"/>
        <w:rPr>
          <w:rFonts w:asciiTheme="minorEastAsia" w:hAnsiTheme="minorEastAsia" w:eastAsiaTheme="minorEastAsia"/>
        </w:rPr>
      </w:pPr>
    </w:p>
    <w:p>
      <w:pPr>
        <w:spacing w:before="240" w:after="72" w:line="360" w:lineRule="auto"/>
        <w:rPr>
          <w:rFonts w:asciiTheme="minorEastAsia" w:hAnsiTheme="minorEastAsia" w:eastAsiaTheme="minorEastAsia"/>
        </w:rPr>
      </w:pPr>
    </w:p>
    <w:p>
      <w:pPr>
        <w:snapToGrid w:val="0"/>
        <w:spacing w:before="240" w:after="72" w:line="360" w:lineRule="auto"/>
        <w:jc w:val="center"/>
        <w:rPr>
          <w:rFonts w:ascii="方正黑体简体" w:hAnsi="Calibri" w:eastAsia="方正黑体简体"/>
          <w:sz w:val="36"/>
        </w:rPr>
      </w:pPr>
      <w:r>
        <w:rPr>
          <w:rFonts w:hint="eastAsia" w:ascii="方正黑体简体" w:hAnsi="Calibri" w:eastAsia="方正黑体简体"/>
          <w:sz w:val="36"/>
        </w:rPr>
        <w:t>南银理财珠联璧合鑫逸稳一年227期封闭式公募人民币理财产品</w:t>
      </w:r>
    </w:p>
    <w:p>
      <w:pPr>
        <w:snapToGrid w:val="0"/>
        <w:spacing w:before="240" w:after="72" w:line="360" w:lineRule="auto"/>
        <w:jc w:val="center"/>
        <w:rPr>
          <w:rFonts w:ascii="方正黑体简体" w:hAnsi="Calibri" w:eastAsia="方正黑体简体"/>
          <w:sz w:val="36"/>
        </w:rPr>
      </w:pPr>
      <w:r>
        <w:rPr>
          <w:rFonts w:hint="eastAsia" w:ascii="方正黑体简体" w:hAnsi="Calibri" w:eastAsia="方正黑体简体"/>
          <w:sz w:val="36"/>
        </w:rPr>
        <w:t>2025年第4季度报告</w:t>
      </w:r>
    </w:p>
    <w:p>
      <w:pPr>
        <w:spacing w:before="240" w:after="72" w:line="360" w:lineRule="auto"/>
        <w:jc w:val="center"/>
        <w:rPr>
          <w:rFonts w:ascii="方正黑体简体" w:eastAsia="方正黑体简体"/>
          <w:sz w:val="36"/>
          <w:szCs w:val="36"/>
        </w:rPr>
      </w:pPr>
    </w:p>
    <w:p>
      <w:pPr>
        <w:spacing w:before="240" w:after="72" w:line="360" w:lineRule="auto"/>
        <w:jc w:val="center"/>
        <w:rPr>
          <w:rFonts w:ascii="方正黑体简体" w:eastAsia="方正黑体简体"/>
          <w:sz w:val="36"/>
          <w:szCs w:val="36"/>
        </w:rPr>
      </w:pPr>
    </w:p>
    <w:p>
      <w:pPr>
        <w:spacing w:before="240" w:after="72" w:line="360" w:lineRule="auto"/>
        <w:jc w:val="center"/>
        <w:rPr>
          <w:rFonts w:ascii="方正黑体简体" w:eastAsia="方正黑体简体"/>
          <w:sz w:val="36"/>
          <w:szCs w:val="36"/>
        </w:rPr>
      </w:pPr>
    </w:p>
    <w:p>
      <w:pPr>
        <w:spacing w:before="240" w:after="72" w:line="360" w:lineRule="auto"/>
        <w:jc w:val="center"/>
        <w:rPr>
          <w:rFonts w:ascii="方正黑体简体" w:eastAsia="方正黑体简体"/>
          <w:sz w:val="36"/>
          <w:szCs w:val="36"/>
        </w:rPr>
      </w:pPr>
    </w:p>
    <w:p>
      <w:pPr>
        <w:snapToGrid w:val="0"/>
        <w:spacing w:before="240" w:after="72" w:line="360" w:lineRule="auto"/>
        <w:jc w:val="center"/>
        <w:rPr>
          <w:rFonts w:ascii="方正仿宋简体" w:eastAsia="方正仿宋简体"/>
          <w:b/>
          <w:sz w:val="24"/>
          <w:szCs w:val="24"/>
        </w:rPr>
      </w:pPr>
      <w:r>
        <w:rPr>
          <w:rFonts w:hint="eastAsia" w:ascii="方正仿宋简体" w:eastAsia="方正仿宋简体"/>
          <w:b/>
          <w:sz w:val="24"/>
          <w:szCs w:val="24"/>
        </w:rPr>
        <w:t>产品管理人:南银理财有限责任公司</w:t>
      </w:r>
    </w:p>
    <w:p>
      <w:pPr>
        <w:snapToGrid w:val="0"/>
        <w:spacing w:before="240" w:after="72" w:line="360" w:lineRule="auto"/>
        <w:jc w:val="center"/>
        <w:rPr>
          <w:rFonts w:ascii="方正仿宋简体" w:eastAsia="方正仿宋简体"/>
          <w:b/>
          <w:sz w:val="24"/>
          <w:szCs w:val="24"/>
        </w:rPr>
      </w:pPr>
      <w:r>
        <w:rPr>
          <w:rFonts w:hint="eastAsia" w:ascii="方正仿宋简体" w:eastAsia="方正仿宋简体"/>
          <w:b/>
          <w:sz w:val="24"/>
          <w:szCs w:val="24"/>
        </w:rPr>
        <w:t>产品托管人:南京银行股份有限公司</w:t>
      </w:r>
    </w:p>
    <w:p>
      <w:pPr>
        <w:spacing w:before="240" w:after="72" w:line="360" w:lineRule="auto"/>
        <w:rPr>
          <w:rFonts w:ascii="方正黑体简体" w:eastAsia="方正黑体简体"/>
          <w:sz w:val="36"/>
          <w:szCs w:val="36"/>
        </w:rPr>
      </w:pPr>
    </w:p>
    <w:p>
      <w:pPr>
        <w:spacing w:before="240" w:after="72" w:line="360" w:lineRule="auto"/>
        <w:rPr>
          <w:rFonts w:ascii="方正黑体简体" w:eastAsia="方正黑体简体"/>
          <w:sz w:val="36"/>
          <w:szCs w:val="36"/>
        </w:rPr>
      </w:pPr>
    </w:p>
    <w:p>
      <w:pPr>
        <w:widowControl/>
        <w:spacing w:before="240" w:afterLines="0" w:line="360" w:lineRule="auto"/>
        <w:jc w:val="left"/>
        <w:rPr>
          <w:rFonts w:ascii="方正仿宋_GBK" w:hAnsi="Calibri" w:eastAsia="方正仿宋_GBK"/>
          <w:b/>
        </w:rPr>
      </w:pPr>
      <w:r>
        <w:rPr>
          <w:rFonts w:ascii="方正仿宋_GBK" w:hAnsi="Calibri" w:eastAsia="方正仿宋_GBK"/>
          <w:b/>
        </w:rPr>
        <w:br w:type="page"/>
      </w:r>
    </w:p>
    <w:p>
      <w:pPr>
        <w:spacing w:before="240" w:after="72" w:line="360" w:lineRule="auto"/>
        <w:jc w:val="center"/>
        <w:rPr>
          <w:rFonts w:ascii="方正仿宋简体" w:eastAsia="方正仿宋简体"/>
          <w:b/>
          <w:sz w:val="24"/>
          <w:szCs w:val="24"/>
        </w:rPr>
      </w:pPr>
      <w:r>
        <w:rPr>
          <w:rFonts w:hint="eastAsia" w:ascii="方正仿宋简体" w:eastAsia="方正仿宋简体"/>
          <w:b/>
          <w:sz w:val="24"/>
          <w:szCs w:val="24"/>
        </w:rPr>
        <w:t>§1 产品概况</w:t>
      </w:r>
    </w:p>
    <w:tbl>
      <w:tblPr>
        <w:tblStyle w:val="5"/>
        <w:tblpPr w:leftFromText="180" w:rightFromText="180" w:vertAnchor="text" w:tblpY="1"/>
        <w:tblOverlap w:val="never"/>
        <w:tblW w:w="889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Borders>
          <w:top w:val="single" w:sz="1" w:color="000000"/>
          <w:left w:val="single" w:sz="1" w:color="000000"/>
          <w:bottom w:val="single" w:sz="1" w:color="000000"/>
          <w:right w:val="single" w:sz="1" w:color="000000"/>
        </w:tblBorders>
        <w:tblLayout w:type="fixed"/>
        <w:tblCellMar>
          <w:top w:w="0" w:type="dxa"/>
          <w:left w:w="108" w:type="dxa"/>
          <w:bottom w:w="0" w:type="dxa"/>
          <w:right w:w="108" w:type="dxa"/>
        </w:tblCellMar>
      </w:tblPr>
      <w:tblGrid>
        <w:gridCol w:w="2719"/>
        <w:gridCol w:w="6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2719"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产品全称</w:t>
            </w:r>
          </w:p>
        </w:tc>
        <w:tc>
          <w:tcPr>
            <w:tcW w:w="6178"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南银理财珠联璧合鑫逸稳一年227期封闭式公募人民币理财产品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2719"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产品登记编码</w:t>
            </w:r>
          </w:p>
        </w:tc>
        <w:tc>
          <w:tcPr>
            <w:tcW w:w="6178"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Z7003225000180（投资者可依据该编码在中国理财网www.chinawealth.com.cn查询理财产品相关信息）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2719"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产品运作方式</w:t>
            </w:r>
          </w:p>
        </w:tc>
        <w:tc>
          <w:tcPr>
            <w:tcW w:w="6178"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2719"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产品成立日</w:t>
            </w:r>
          </w:p>
        </w:tc>
        <w:tc>
          <w:tcPr>
            <w:tcW w:w="6178"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2025年06月25日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2719"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报告期末产品份额总额</w:t>
            </w:r>
          </w:p>
        </w:tc>
        <w:tc>
          <w:tcPr>
            <w:tcW w:w="6178"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1,461,046,831.00份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2719"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合作机构</w:t>
            </w:r>
          </w:p>
        </w:tc>
        <w:tc>
          <w:tcPr>
            <w:tcW w:w="6178"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天津信托有限责任公司,紫金信托有限责任公司,鑫元基金管理有限公司,江苏省国际信托有限责任公司,中国对外经济贸易信托有限公司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2719"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产品管理人</w:t>
            </w:r>
          </w:p>
        </w:tc>
        <w:tc>
          <w:tcPr>
            <w:tcW w:w="6178"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南银理财有限责任公司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2719"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产品托管人</w:t>
            </w:r>
          </w:p>
        </w:tc>
        <w:tc>
          <w:tcPr>
            <w:tcW w:w="6178"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南京银行股份有限公司</w:t>
            </w:r>
          </w:p>
        </w:tc>
      </w:tr>
    </w:tbl>
    <w:p>
      <w:pPr>
        <w:spacing w:before="240" w:after="72" w:line="360" w:lineRule="auto"/>
        <w:rPr>
          <w:rFonts w:ascii="方正仿宋_GBK" w:hAnsi="宋体" w:eastAsia="方正仿宋_GBK" w:cs="宋体"/>
          <w:kern w:val="0"/>
          <w:sz w:val="24"/>
          <w:szCs w:val="24"/>
        </w:rPr>
      </w:pPr>
    </w:p>
    <w:p>
      <w:pPr>
        <w:spacing w:before="240" w:after="72" w:line="360" w:lineRule="auto"/>
        <w:jc w:val="center"/>
        <w:rPr>
          <w:rFonts w:ascii="方正仿宋简体" w:eastAsia="方正仿宋简体"/>
          <w:b/>
          <w:sz w:val="24"/>
          <w:szCs w:val="24"/>
        </w:rPr>
      </w:pPr>
      <w:r>
        <w:rPr>
          <w:rFonts w:hint="eastAsia" w:ascii="方正仿宋简体" w:eastAsia="方正仿宋简体"/>
          <w:b/>
          <w:sz w:val="24"/>
          <w:szCs w:val="24"/>
        </w:rPr>
        <w:t>§2  主要财务指标</w:t>
      </w:r>
    </w:p>
    <w:p>
      <w:pPr>
        <w:spacing w:before="240" w:after="72" w:line="360" w:lineRule="auto"/>
        <w:rPr>
          <w:rFonts w:ascii="方正仿宋简体" w:eastAsia="方正仿宋简体"/>
          <w:b/>
          <w:sz w:val="24"/>
          <w:szCs w:val="24"/>
        </w:rPr>
      </w:pPr>
      <w:r>
        <w:rPr>
          <w:rFonts w:hint="eastAsia" w:ascii="方正仿宋简体" w:eastAsia="方正仿宋简体"/>
          <w:b/>
          <w:sz w:val="24"/>
          <w:szCs w:val="24"/>
        </w:rPr>
        <w:t>2.1 主要财务指标</w:t>
      </w:r>
    </w:p>
    <w:p>
      <w:pPr>
        <w:spacing w:before="240" w:after="72" w:line="360" w:lineRule="auto"/>
        <w:jc w:val="right"/>
        <w:rPr>
          <w:rFonts w:ascii="方正仿宋简体" w:eastAsia="方正仿宋简体"/>
          <w:sz w:val="24"/>
          <w:szCs w:val="24"/>
        </w:rPr>
      </w:pPr>
      <w:r>
        <w:rPr>
          <w:rFonts w:hint="eastAsia" w:ascii="方正仿宋简体" w:eastAsia="方正仿宋简体"/>
          <w:sz w:val="24"/>
          <w:szCs w:val="24"/>
        </w:rPr>
        <w:t>单位：人民币元</w:t>
      </w:r>
    </w:p>
    <w:tbl>
      <w:tblPr>
        <w:tblStyle w:val="5"/>
        <w:tblpPr w:leftFromText="180" w:rightFromText="180" w:vertAnchor="text" w:tblpXSpec="center" w:tblpY="1"/>
        <w:tblOverlap w:val="never"/>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Borders>
          <w:top w:val="single" w:sz="1" w:color="000000"/>
          <w:left w:val="single" w:sz="1" w:color="000000"/>
          <w:bottom w:val="single" w:sz="1" w:color="000000"/>
          <w:right w:val="single" w:sz="1" w:color="000000"/>
        </w:tblBorders>
        <w:tblLayout w:type="fixed"/>
        <w:tblCellMar>
          <w:top w:w="0" w:type="dxa"/>
          <w:left w:w="108" w:type="dxa"/>
          <w:bottom w:w="0" w:type="dxa"/>
          <w:right w:w="108" w:type="dxa"/>
        </w:tblCellMar>
      </w:tblPr>
      <w:tblGrid>
        <w:gridCol w:w="1838"/>
        <w:gridCol w:w="2693"/>
        <w:gridCol w:w="2410"/>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838" w:type="dxa"/>
            <w:vMerge w:val="restart"/>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内部销售代码</w:t>
            </w:r>
          </w:p>
        </w:tc>
        <w:tc>
          <w:tcPr>
            <w:tcW w:w="7229" w:type="dxa"/>
            <w:gridSpan w:val="3"/>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报告期（2025年10月01日 - 2025年12月31日）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jc w:val="center"/>
        </w:trPr>
        <w:tc>
          <w:tcPr>
            <w:tcW w:w="1838" w:type="dxa"/>
            <w:vMerge w:val="continue"/>
            <w:vAlign w:val="center"/>
          </w:tcPr>
          <w:p>
            <w:pPr>
              <w:spacing w:before="48" w:beforeLines="20" w:after="48" w:afterLines="20"/>
              <w:jc w:val="center"/>
              <w:rPr>
                <w:rFonts w:ascii="方正仿宋简体" w:eastAsia="方正仿宋简体"/>
                <w:sz w:val="24"/>
                <w:szCs w:val="24"/>
              </w:rPr>
            </w:pPr>
          </w:p>
        </w:tc>
        <w:tc>
          <w:tcPr>
            <w:tcW w:w="2693"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1.期末产品最后一个市场交易日资产净值</w:t>
            </w:r>
          </w:p>
        </w:tc>
        <w:tc>
          <w:tcPr>
            <w:tcW w:w="2410"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2.期末产品最后一个市场交易日份额净值</w:t>
            </w:r>
          </w:p>
        </w:tc>
        <w:tc>
          <w:tcPr>
            <w:tcW w:w="2126"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3.期末产品最后一个市场交易日份额累计净值</w:t>
            </w:r>
          </w:p>
        </w:tc>
      </w:tr>
      <w:tr>
        <w:trPr>
          <w:trHeight w:val="565" w:hRule="atLeast"/>
          <w:jc w:val="center"/>
        </w:trPr>
        <w:tc>
          <w:tcPr>
            <w:tcW w:w="1838"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Y30227</w:t>
            </w:r>
          </w:p>
        </w:tc>
        <w:tc>
          <w:tcPr>
            <w:tcW w:w="2693"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705,675,134.78</w:t>
            </w:r>
          </w:p>
        </w:tc>
        <w:tc>
          <w:tcPr>
            <w:tcW w:w="2410"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1.0098</w:t>
            </w:r>
          </w:p>
        </w:tc>
        <w:tc>
          <w:tcPr>
            <w:tcW w:w="2126"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1.0098</w:t>
            </w:r>
          </w:p>
        </w:tc>
      </w:tr>
      <w:tr>
        <w:trPr>
          <w:trHeight w:val="565" w:hRule="atLeast"/>
          <w:jc w:val="center"/>
        </w:trPr>
        <w:tc>
          <w:tcPr>
            <w:tcW w:w="1838"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Y31227</w:t>
            </w:r>
          </w:p>
        </w:tc>
        <w:tc>
          <w:tcPr>
            <w:tcW w:w="2693"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282,540,080.72</w:t>
            </w:r>
          </w:p>
        </w:tc>
        <w:tc>
          <w:tcPr>
            <w:tcW w:w="2410"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1.0102</w:t>
            </w:r>
          </w:p>
        </w:tc>
        <w:tc>
          <w:tcPr>
            <w:tcW w:w="2126"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1.0102</w:t>
            </w:r>
          </w:p>
        </w:tc>
      </w:tr>
      <w:tr>
        <w:trPr>
          <w:trHeight w:val="565" w:hRule="atLeast"/>
          <w:jc w:val="center"/>
        </w:trPr>
        <w:tc>
          <w:tcPr>
            <w:tcW w:w="1838"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Y32227</w:t>
            </w:r>
          </w:p>
        </w:tc>
        <w:tc>
          <w:tcPr>
            <w:tcW w:w="2693"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181,616,286.50</w:t>
            </w:r>
          </w:p>
        </w:tc>
        <w:tc>
          <w:tcPr>
            <w:tcW w:w="2410"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1.0107</w:t>
            </w:r>
          </w:p>
        </w:tc>
        <w:tc>
          <w:tcPr>
            <w:tcW w:w="2126"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1.0107</w:t>
            </w:r>
          </w:p>
        </w:tc>
      </w:tr>
      <w:tr>
        <w:trPr>
          <w:trHeight w:val="565" w:hRule="atLeast"/>
          <w:jc w:val="center"/>
        </w:trPr>
        <w:tc>
          <w:tcPr>
            <w:tcW w:w="1838"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Y33227</w:t>
            </w:r>
          </w:p>
        </w:tc>
        <w:tc>
          <w:tcPr>
            <w:tcW w:w="2693"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30,091,467.51</w:t>
            </w:r>
          </w:p>
        </w:tc>
        <w:tc>
          <w:tcPr>
            <w:tcW w:w="2410"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1.0112</w:t>
            </w:r>
          </w:p>
        </w:tc>
        <w:tc>
          <w:tcPr>
            <w:tcW w:w="2126"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1.0112</w:t>
            </w:r>
          </w:p>
        </w:tc>
      </w:tr>
      <w:tr>
        <w:trPr>
          <w:trHeight w:val="565" w:hRule="atLeast"/>
          <w:jc w:val="center"/>
        </w:trPr>
        <w:tc>
          <w:tcPr>
            <w:tcW w:w="1838"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Y34227</w:t>
            </w:r>
          </w:p>
        </w:tc>
        <w:tc>
          <w:tcPr>
            <w:tcW w:w="2693"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63,546,726.13</w:t>
            </w:r>
          </w:p>
        </w:tc>
        <w:tc>
          <w:tcPr>
            <w:tcW w:w="2410"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1.0096</w:t>
            </w:r>
          </w:p>
        </w:tc>
        <w:tc>
          <w:tcPr>
            <w:tcW w:w="2126"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1.0096</w:t>
            </w:r>
          </w:p>
        </w:tc>
      </w:tr>
      <w:tr>
        <w:trPr>
          <w:trHeight w:val="565" w:hRule="atLeast"/>
          <w:jc w:val="center"/>
        </w:trPr>
        <w:tc>
          <w:tcPr>
            <w:tcW w:w="1838"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Y35227</w:t>
            </w:r>
          </w:p>
        </w:tc>
        <w:tc>
          <w:tcPr>
            <w:tcW w:w="2693"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163,092,573.81</w:t>
            </w:r>
          </w:p>
        </w:tc>
        <w:tc>
          <w:tcPr>
            <w:tcW w:w="2410"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1.0099</w:t>
            </w:r>
          </w:p>
        </w:tc>
        <w:tc>
          <w:tcPr>
            <w:tcW w:w="2126"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1.0099</w:t>
            </w:r>
          </w:p>
        </w:tc>
      </w:tr>
      <w:tr>
        <w:trPr>
          <w:trHeight w:val="565" w:hRule="atLeast"/>
          <w:jc w:val="center"/>
        </w:trPr>
        <w:tc>
          <w:tcPr>
            <w:tcW w:w="1838"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Y36227</w:t>
            </w:r>
          </w:p>
        </w:tc>
        <w:tc>
          <w:tcPr>
            <w:tcW w:w="2693"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49,203,498.15</w:t>
            </w:r>
          </w:p>
        </w:tc>
        <w:tc>
          <w:tcPr>
            <w:tcW w:w="2410"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1.0101</w:t>
            </w:r>
          </w:p>
        </w:tc>
        <w:tc>
          <w:tcPr>
            <w:tcW w:w="2126"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1.0101</w:t>
            </w:r>
          </w:p>
        </w:tc>
      </w:tr>
    </w:tbl>
    <w:p>
      <w:pPr>
        <w:pStyle w:val="10"/>
        <w:spacing w:before="240" w:after="72" w:line="360" w:lineRule="auto"/>
        <w:ind w:left="0"/>
        <w:rPr>
          <w:rFonts w:ascii="方正仿宋简体" w:hAnsi="Times New Roman" w:eastAsia="方正仿宋简体" w:cs="Times New Roman"/>
          <w:kern w:val="2"/>
        </w:rPr>
      </w:pPr>
      <w:r>
        <w:rPr>
          <w:rFonts w:hint="eastAsia" w:ascii="方正仿宋简体" w:hAnsi="Times New Roman" w:eastAsia="方正仿宋简体" w:cs="Times New Roman"/>
          <w:kern w:val="2"/>
        </w:rPr>
        <w:t>注：产品净值可能存在未扣除管理人及投资合作机构业绩报酬、赎回费等费用（如有）的情况，实际收益以兑付为准。</w:t>
      </w:r>
    </w:p>
    <w:p>
      <w:pPr>
        <w:spacing w:before="240" w:after="72" w:line="360" w:lineRule="auto"/>
        <w:rPr>
          <w:rFonts w:ascii="方正仿宋_GBK" w:eastAsia="方正仿宋_GBK"/>
          <w:sz w:val="24"/>
          <w:szCs w:val="24"/>
        </w:rPr>
      </w:pPr>
    </w:p>
    <w:p>
      <w:pPr>
        <w:spacing w:before="240" w:after="72" w:line="360" w:lineRule="auto"/>
        <w:jc w:val="center"/>
        <w:rPr>
          <w:rFonts w:ascii="方正仿宋简体" w:eastAsia="方正仿宋简体"/>
          <w:b/>
          <w:sz w:val="24"/>
          <w:szCs w:val="24"/>
        </w:rPr>
      </w:pPr>
      <w:r>
        <w:rPr>
          <w:rFonts w:hint="eastAsia" w:ascii="方正仿宋简体" w:eastAsia="方正仿宋简体"/>
          <w:b/>
          <w:sz w:val="24"/>
          <w:szCs w:val="24"/>
        </w:rPr>
        <w:t>§3  管理人报告</w:t>
      </w:r>
    </w:p>
    <w:p>
      <w:pPr>
        <w:spacing w:before="240" w:after="72" w:line="360" w:lineRule="auto"/>
        <w:rPr>
          <w:rFonts w:ascii="方正仿宋简体" w:eastAsia="方正仿宋简体"/>
          <w:b/>
          <w:sz w:val="24"/>
          <w:szCs w:val="24"/>
        </w:rPr>
      </w:pPr>
      <w:r>
        <w:rPr>
          <w:rFonts w:hint="eastAsia" w:ascii="方正仿宋简体" w:eastAsia="方正仿宋简体"/>
          <w:b/>
          <w:sz w:val="24"/>
          <w:szCs w:val="24"/>
        </w:rPr>
        <w:t>3.1 报告期内产品的投资策略和运作分析</w:t>
      </w:r>
    </w:p>
    <w:p>
      <w:pPr>
        <w:spacing w:before="240" w:after="72" w:line="360" w:lineRule="auto"/>
        <w:rPr>
          <w:rFonts w:ascii="方正仿宋简体" w:eastAsia="方正仿宋简体"/>
          <w:sz w:val="24"/>
          <w:szCs w:val="24"/>
        </w:rPr>
      </w:pPr>
      <w:r>
        <w:rPr>
          <w:rFonts w:hint="eastAsia" w:ascii="方正仿宋简体" w:eastAsia="方正仿宋简体"/>
          <w:sz w:val="24"/>
          <w:szCs w:val="24"/>
        </w:rPr>
        <w:t>  四季度债市利空因素边际缓解，基金销售费率新规影响下机构赎回边际放缓，央行重启国债买卖，机构博弈利差压缩收益，信用债配置情绪整体有所修复，年末万科债券展期，重要会议释放货币宽松信号，央行呵护跨年资金面，但超长债供给时有扰动，信用债收益率窄幅波动，利差主动走阔后维持震荡。</w:t>
        <w:br w:type="textWrapping" w:clear="all"/>
      </w:r>
      <w:r>
        <w:rPr>
          <w:rFonts w:hint="eastAsia" w:ascii="方正仿宋简体" w:eastAsia="方正仿宋简体"/>
          <w:sz w:val="24"/>
          <w:szCs w:val="24"/>
        </w:rPr>
        <w:t>  展望一季度，总需求改善仍需要政策支撑，货币政策延续“适度宽松”的定位，降准降息的政策工具仍有使用空间，但由于利率整体处于低位，银行信贷开门红和财政前置发力以及风险资产的表现会对利率有所压制，债券市场大概率呈现震荡的格局，一季度有望成为年内较好的票息类资产配置时机。随着高息存款逐步到期向理财类产品转移，中期看收益率和利差有望下行，信用类资产可以把握机会左侧配置。</w:t>
        <w:br w:type="textWrapping" w:clear="all"/>
      </w:r>
      <w:r>
        <w:rPr>
          <w:rFonts w:hint="eastAsia" w:ascii="方正仿宋简体" w:eastAsia="方正仿宋简体"/>
          <w:sz w:val="24"/>
          <w:szCs w:val="24"/>
        </w:rPr>
        <w:t>  操作方面，坚持稳健运作的投资理念，对于利差保护较足的信用资产积极配置，同时关注交易活跃品种的波段机会，根据对后市的研判灵活摆布资产久期与杠杆水平，获取稳健的投资回报。</w:t>
      </w:r>
      <w:r>
        <w:rPr>
          <w:rFonts w:hint="eastAsia" w:ascii="方正仿宋简体" w:eastAsia="方正仿宋简体"/>
          <w:sz w:val="24"/>
          <w:szCs w:val="24"/>
        </w:rPr>
        <w:t/>
      </w:r>
    </w:p>
    <w:p>
      <w:pPr>
        <w:spacing w:before="240" w:after="72" w:line="360" w:lineRule="auto"/>
        <w:rPr>
          <w:rFonts w:ascii="方正仿宋简体" w:eastAsia="方正仿宋简体"/>
          <w:b/>
          <w:sz w:val="24"/>
          <w:szCs w:val="24"/>
        </w:rPr>
      </w:pPr>
      <w:r>
        <w:rPr>
          <w:rFonts w:hint="eastAsia" w:ascii="方正仿宋简体" w:eastAsia="方正仿宋简体"/>
          <w:b/>
          <w:sz w:val="24"/>
          <w:szCs w:val="24"/>
        </w:rPr>
        <w:t>3.2 报告期内产品的流动性风险分析</w:t>
      </w:r>
    </w:p>
    <w:p>
      <w:pPr>
        <w:spacing w:before="240" w:after="72" w:line="360" w:lineRule="auto"/>
        <w:rPr>
          <w:rFonts w:ascii="方正仿宋简体" w:eastAsia="方正仿宋简体"/>
          <w:sz w:val="24"/>
          <w:szCs w:val="24"/>
        </w:rPr>
      </w:pPr>
      <w:r>
        <w:rPr>
          <w:rFonts w:ascii="方正仿宋简体" w:eastAsia="方正仿宋简体"/>
          <w:sz w:val="24"/>
          <w:szCs w:val="24"/>
        </w:rPr>
        <w:t>  本理财产品主要投向具有良好流动性的标准化债券资产和非标债权资产，其中非标债权资产的投资比例不超过说明书约定的比例上限，资产到期日不晚于本理财产品的到期日，流动性风险可控。</w:t>
      </w:r>
    </w:p>
    <w:p>
      <w:pPr>
        <w:spacing w:before="240" w:after="72" w:line="360" w:lineRule="auto"/>
        <w:rPr>
          <w:rFonts w:ascii="方正仿宋简体" w:eastAsia="方正仿宋简体"/>
          <w:b/>
          <w:sz w:val="24"/>
          <w:szCs w:val="24"/>
        </w:rPr>
      </w:pPr>
      <w:r>
        <w:rPr>
          <w:rFonts w:hint="eastAsia" w:ascii="方正仿宋简体" w:eastAsia="方正仿宋简体"/>
          <w:b/>
          <w:sz w:val="24"/>
          <w:szCs w:val="24"/>
        </w:rPr>
        <w:t>3.3 报告期内产品的业绩表现</w:t>
      </w:r>
    </w:p>
    <w:p>
      <w:pPr>
        <w:spacing w:before="240" w:after="72" w:line="360" w:lineRule="auto"/>
        <w:ind w:firstLine="480" w:firstLineChars="200"/>
        <w:rPr>
          <w:rFonts w:ascii="方正仿宋简体" w:eastAsia="方正仿宋简体"/>
          <w:sz w:val="24"/>
          <w:szCs w:val="24"/>
        </w:rPr>
      </w:pPr>
      <w:r>
        <w:rPr>
          <w:rFonts w:hint="eastAsia" w:ascii="方正仿宋简体" w:eastAsia="方正仿宋简体"/>
          <w:sz w:val="24"/>
          <w:szCs w:val="24"/>
        </w:rPr>
        <w:t>截至报告期末，本产品Y30227份额净值为1.0098元，Y31227份额净值为1.0102元，Y32227份额净值为1.0107元，Y33227份额净值为1.0112元，Y34227份额净值为1.0096元，Y35227份额净值为1.0099元，Y36227份额净值为1.0101元。</w:t>
      </w:r>
    </w:p>
    <w:p>
      <w:pPr>
        <w:spacing w:before="240" w:after="72" w:line="360" w:lineRule="auto"/>
        <w:rPr>
          <w:rFonts w:ascii="方正仿宋_GBK" w:hAnsi="宋体" w:eastAsia="方正仿宋_GBK"/>
          <w:sz w:val="24"/>
          <w:szCs w:val="24"/>
        </w:rPr>
      </w:pPr>
    </w:p>
    <w:p>
      <w:pPr>
        <w:spacing w:before="240" w:after="72" w:line="360" w:lineRule="auto"/>
        <w:jc w:val="center"/>
        <w:rPr>
          <w:rFonts w:ascii="方正仿宋简体" w:eastAsia="方正仿宋简体"/>
          <w:b/>
          <w:sz w:val="24"/>
          <w:szCs w:val="24"/>
        </w:rPr>
      </w:pPr>
      <w:r>
        <w:rPr>
          <w:rFonts w:hint="eastAsia" w:ascii="方正仿宋简体" w:eastAsia="方正仿宋简体"/>
          <w:b/>
          <w:sz w:val="24"/>
          <w:szCs w:val="24"/>
        </w:rPr>
        <w:t>§4  投资组合报告</w:t>
      </w:r>
    </w:p>
    <w:p>
      <w:pPr>
        <w:spacing w:before="240" w:after="72" w:line="360" w:lineRule="auto"/>
        <w:rPr>
          <w:rFonts w:ascii="方正仿宋简体" w:eastAsia="方正仿宋简体"/>
          <w:b/>
          <w:sz w:val="24"/>
          <w:szCs w:val="24"/>
        </w:rPr>
      </w:pPr>
      <w:r>
        <w:rPr>
          <w:rFonts w:hint="eastAsia" w:ascii="方正仿宋简体" w:eastAsia="方正仿宋简体"/>
          <w:b/>
          <w:sz w:val="24"/>
          <w:szCs w:val="24"/>
        </w:rPr>
        <w:t>4.1 报告期末产品资产组合情况</w:t>
      </w:r>
    </w:p>
    <w:tbl>
      <w:tblPr>
        <w:tblStyle w:val="5"/>
        <w:tblpPr w:leftFromText="180" w:rightFromText="180" w:vertAnchor="text" w:tblpXSpec="center" w:tblpY="1"/>
        <w:tblOverlap w:val="never"/>
        <w:tblW w:w="88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Borders>
          <w:top w:val="single" w:sz="1" w:color="000000"/>
          <w:left w:val="single" w:sz="1" w:color="000000"/>
          <w:bottom w:val="single" w:sz="1" w:color="000000"/>
          <w:right w:val="single" w:sz="1" w:color="000000"/>
        </w:tblBorders>
        <w:tblLayout w:type="fixed"/>
        <w:tblCellMar>
          <w:top w:w="0" w:type="dxa"/>
          <w:left w:w="108" w:type="dxa"/>
          <w:bottom w:w="0" w:type="dxa"/>
          <w:right w:w="108" w:type="dxa"/>
        </w:tblCellMar>
      </w:tblPr>
      <w:tblGrid>
        <w:gridCol w:w="745"/>
        <w:gridCol w:w="1859"/>
        <w:gridCol w:w="3002"/>
        <w:gridCol w:w="3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序号</w:t>
            </w:r>
          </w:p>
        </w:tc>
        <w:tc>
          <w:tcPr>
            <w:tcW w:w="185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资产类别</w:t>
            </w:r>
          </w:p>
        </w:tc>
        <w:tc>
          <w:tcPr>
            <w:tcW w:w="3002"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穿透前占总资产比例</w:t>
            </w:r>
          </w:p>
        </w:tc>
        <w:tc>
          <w:tcPr>
            <w:tcW w:w="328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穿透后占总资产比例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1</w:t>
            </w:r>
          </w:p>
        </w:tc>
        <w:tc>
          <w:tcPr>
            <w:tcW w:w="185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固定收益类</w:t>
            </w:r>
          </w:p>
        </w:tc>
        <w:tc>
          <w:tcPr>
            <w:tcW w:w="3002"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100.00%</w:t>
            </w:r>
          </w:p>
        </w:tc>
        <w:tc>
          <w:tcPr>
            <w:tcW w:w="328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95.68%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2</w:t>
            </w:r>
          </w:p>
        </w:tc>
        <w:tc>
          <w:tcPr>
            <w:tcW w:w="185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权益类</w:t>
            </w:r>
          </w:p>
        </w:tc>
        <w:tc>
          <w:tcPr>
            <w:tcW w:w="3002"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0.00%</w:t>
            </w:r>
          </w:p>
        </w:tc>
        <w:tc>
          <w:tcPr>
            <w:tcW w:w="328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3</w:t>
            </w:r>
          </w:p>
        </w:tc>
        <w:tc>
          <w:tcPr>
            <w:tcW w:w="185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商品及金融衍生品类</w:t>
            </w:r>
          </w:p>
        </w:tc>
        <w:tc>
          <w:tcPr>
            <w:tcW w:w="3002"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0.00%</w:t>
            </w:r>
          </w:p>
        </w:tc>
        <w:tc>
          <w:tcPr>
            <w:tcW w:w="328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4</w:t>
            </w:r>
          </w:p>
        </w:tc>
        <w:tc>
          <w:tcPr>
            <w:tcW w:w="185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混合类</w:t>
            </w:r>
          </w:p>
        </w:tc>
        <w:tc>
          <w:tcPr>
            <w:tcW w:w="3002"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0.00%</w:t>
            </w:r>
          </w:p>
        </w:tc>
        <w:tc>
          <w:tcPr>
            <w:tcW w:w="328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5</w:t>
            </w:r>
          </w:p>
        </w:tc>
        <w:tc>
          <w:tcPr>
            <w:tcW w:w="185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合计</w:t>
            </w:r>
          </w:p>
        </w:tc>
        <w:tc>
          <w:tcPr>
            <w:tcW w:w="3002"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100.00%</w:t>
            </w:r>
          </w:p>
        </w:tc>
        <w:tc>
          <w:tcPr>
            <w:tcW w:w="328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100.00%</w:t>
            </w:r>
          </w:p>
        </w:tc>
      </w:tr>
    </w:tbl>
    <w:p>
      <w:pPr>
        <w:spacing w:before="240" w:after="72" w:line="360" w:lineRule="auto"/>
        <w:rPr>
          <w:rFonts w:ascii="方正仿宋_GBK" w:eastAsia="方正仿宋_GBK"/>
          <w:sz w:val="24"/>
          <w:szCs w:val="24"/>
        </w:rPr>
      </w:pPr>
    </w:p>
    <w:p>
      <w:pPr>
        <w:spacing w:before="240" w:after="72" w:line="360" w:lineRule="auto"/>
        <w:rPr>
          <w:rFonts w:ascii="方正仿宋简体" w:eastAsia="方正仿宋简体"/>
          <w:b/>
          <w:sz w:val="24"/>
          <w:szCs w:val="24"/>
        </w:rPr>
      </w:pPr>
      <w:r>
        <w:rPr>
          <w:rFonts w:hint="eastAsia" w:ascii="方正仿宋简体" w:eastAsia="方正仿宋简体"/>
          <w:b/>
          <w:sz w:val="24"/>
          <w:szCs w:val="24"/>
        </w:rPr>
        <w:t>4.2 报告期末按公允价值占产品资产净值比例大小排序的前十名资产投资明细</w:t>
      </w:r>
    </w:p>
    <w:tbl>
      <w:tblPr>
        <w:tblStyle w:val="5"/>
        <w:tblpPr w:leftFromText="180" w:rightFromText="180" w:vertAnchor="text" w:tblpXSpec="center" w:tblpY="1"/>
        <w:tblOverlap w:val="never"/>
        <w:tblW w:w="89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Borders>
          <w:top w:val="single" w:sz="1" w:color="000000"/>
          <w:left w:val="single" w:sz="1" w:color="000000"/>
          <w:bottom w:val="single" w:sz="1" w:color="000000"/>
          <w:right w:val="single" w:sz="1" w:color="000000"/>
        </w:tblBorders>
        <w:tblLayout w:type="fixed"/>
        <w:tblCellMar>
          <w:top w:w="0" w:type="dxa"/>
          <w:left w:w="108" w:type="dxa"/>
          <w:bottom w:w="0" w:type="dxa"/>
          <w:right w:w="108" w:type="dxa"/>
        </w:tblCellMar>
      </w:tblPr>
      <w:tblGrid>
        <w:gridCol w:w="750"/>
        <w:gridCol w:w="1581"/>
        <w:gridCol w:w="2712"/>
        <w:gridCol w:w="2052"/>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jc w:val="center"/>
        </w:trPr>
        <w:tc>
          <w:tcPr>
            <w:tcW w:w="750"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序号</w:t>
            </w:r>
          </w:p>
        </w:tc>
        <w:tc>
          <w:tcPr>
            <w:tcW w:w="1581"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代码</w:t>
            </w:r>
          </w:p>
        </w:tc>
        <w:tc>
          <w:tcPr>
            <w:tcW w:w="2712"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名称</w:t>
            </w:r>
          </w:p>
        </w:tc>
        <w:tc>
          <w:tcPr>
            <w:tcW w:w="2052"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公允价值（元）</w:t>
            </w:r>
          </w:p>
        </w:tc>
        <w:tc>
          <w:tcPr>
            <w:tcW w:w="1807"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占产品资产净值比例（％）</w:t>
            </w:r>
          </w:p>
        </w:tc>
      </w:tr>
      <w:tr>
        <w:trPr>
          <w:trHeight w:val="583" w:hRule="atLeast"/>
          <w:jc w:val="center"/>
        </w:trPr>
        <w:tc>
          <w:tcPr>
            <w:tcW w:w="750"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581"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XTDKX202507230022</w:t>
            </w:r>
          </w:p>
        </w:tc>
        <w:tc>
          <w:tcPr>
            <w:tcW w:w="271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外贸信托-云虹23号集合资金信托计划</w:t>
            </w:r>
          </w:p>
        </w:tc>
        <w:tc>
          <w:tcPr>
            <w:tcW w:w="205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535,671,604.20</w:t>
            </w:r>
          </w:p>
        </w:tc>
        <w:tc>
          <w:tcPr>
            <w:tcW w:w="1807"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36.30</w:t>
            </w:r>
          </w:p>
        </w:tc>
      </w:tr>
      <w:tr>
        <w:trPr>
          <w:trHeight w:val="583" w:hRule="atLeast"/>
          <w:jc w:val="center"/>
        </w:trPr>
        <w:tc>
          <w:tcPr>
            <w:tcW w:w="750"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581"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ZZGJT202005290001</w:t>
            </w:r>
          </w:p>
        </w:tc>
        <w:tc>
          <w:tcPr>
            <w:tcW w:w="271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鑫元基金-鑫安利得51号</w:t>
            </w:r>
          </w:p>
        </w:tc>
        <w:tc>
          <w:tcPr>
            <w:tcW w:w="205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449,637,028.11</w:t>
            </w:r>
          </w:p>
        </w:tc>
        <w:tc>
          <w:tcPr>
            <w:tcW w:w="1807"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30.47</w:t>
            </w:r>
          </w:p>
        </w:tc>
      </w:tr>
      <w:tr>
        <w:trPr>
          <w:trHeight w:val="583" w:hRule="atLeast"/>
          <w:jc w:val="center"/>
        </w:trPr>
        <w:tc>
          <w:tcPr>
            <w:tcW w:w="750"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1581"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XTDKX202507160004</w:t>
            </w:r>
          </w:p>
        </w:tc>
        <w:tc>
          <w:tcPr>
            <w:tcW w:w="271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天津信托-天实511号集合资金信托计划（第4期）</w:t>
            </w:r>
          </w:p>
        </w:tc>
        <w:tc>
          <w:tcPr>
            <w:tcW w:w="205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202,080,000.00</w:t>
            </w:r>
          </w:p>
        </w:tc>
        <w:tc>
          <w:tcPr>
            <w:tcW w:w="1807"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13.69</w:t>
            </w:r>
          </w:p>
        </w:tc>
      </w:tr>
      <w:tr>
        <w:trPr>
          <w:trHeight w:val="583" w:hRule="atLeast"/>
          <w:jc w:val="center"/>
        </w:trPr>
        <w:tc>
          <w:tcPr>
            <w:tcW w:w="750"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1581"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ZJQTT202312130001</w:t>
            </w:r>
          </w:p>
        </w:tc>
        <w:tc>
          <w:tcPr>
            <w:tcW w:w="271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紫金信托合盛1号集合资金信托计划</w:t>
            </w:r>
          </w:p>
        </w:tc>
        <w:tc>
          <w:tcPr>
            <w:tcW w:w="205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181,488,677.06</w:t>
            </w:r>
          </w:p>
        </w:tc>
        <w:tc>
          <w:tcPr>
            <w:tcW w:w="1807"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12.30</w:t>
            </w:r>
          </w:p>
        </w:tc>
      </w:tr>
      <w:tr>
        <w:trPr>
          <w:trHeight w:val="583" w:hRule="atLeast"/>
          <w:jc w:val="center"/>
        </w:trPr>
        <w:tc>
          <w:tcPr>
            <w:tcW w:w="750"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w:t>
            </w:r>
          </w:p>
        </w:tc>
        <w:tc>
          <w:tcPr>
            <w:tcW w:w="1581"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ZJQTT202301090001</w:t>
            </w:r>
          </w:p>
        </w:tc>
        <w:tc>
          <w:tcPr>
            <w:tcW w:w="271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江苏信托鑫盈3号集合资金信托计划</w:t>
            </w:r>
          </w:p>
        </w:tc>
        <w:tc>
          <w:tcPr>
            <w:tcW w:w="205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107,645,507.50</w:t>
            </w:r>
          </w:p>
        </w:tc>
        <w:tc>
          <w:tcPr>
            <w:tcW w:w="1807"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7.29</w:t>
            </w:r>
          </w:p>
        </w:tc>
      </w:tr>
    </w:tbl>
    <w:p>
      <w:pPr>
        <w:spacing w:before="240" w:after="72" w:line="360" w:lineRule="auto"/>
        <w:rPr>
          <w:rFonts w:ascii="方正仿宋_GBK" w:hAnsi="宋体" w:eastAsia="方正仿宋_GBK" w:cs="宋体"/>
          <w:sz w:val="24"/>
          <w:szCs w:val="24"/>
          <w:shd w:val="clear" w:color="auto" w:fill="FFFFFF"/>
        </w:rPr>
      </w:pPr>
    </w:p>
    <w:p>
      <w:pPr>
        <w:spacing w:before="240" w:after="72" w:line="360" w:lineRule="auto"/>
        <w:rPr>
          <w:rFonts w:ascii="方正仿宋简体" w:eastAsia="方正仿宋简体"/>
          <w:b/>
          <w:sz w:val="24"/>
          <w:szCs w:val="24"/>
        </w:rPr>
      </w:pPr>
      <w:r>
        <w:rPr>
          <w:rFonts w:hint="eastAsia" w:ascii="方正仿宋简体" w:eastAsia="方正仿宋简体"/>
          <w:b/>
          <w:sz w:val="24"/>
          <w:szCs w:val="24"/>
        </w:rPr>
        <w:t>4.3报告期末非标准化债权类资产明细</w:t>
      </w:r>
    </w:p>
    <w:tbl>
      <w:tblPr>
        <w:tblStyle w:val="5"/>
        <w:tblpPr w:leftFromText="180" w:rightFromText="180" w:vertAnchor="text" w:tblpXSpec="center" w:tblpY="1"/>
        <w:tblOverlap w:val="never"/>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Borders>
          <w:top w:val="single" w:sz="1" w:color="000000"/>
          <w:left w:val="single" w:sz="1" w:color="000000"/>
          <w:bottom w:val="single" w:sz="1" w:color="000000"/>
          <w:right w:val="single" w:sz="1" w:color="000000"/>
        </w:tblBorders>
        <w:tblLayout w:type="fixed"/>
        <w:tblCellMar>
          <w:top w:w="0" w:type="dxa"/>
          <w:left w:w="108" w:type="dxa"/>
          <w:bottom w:w="0" w:type="dxa"/>
          <w:right w:w="108" w:type="dxa"/>
        </w:tblCellMar>
      </w:tblPr>
      <w:tblGrid>
        <w:gridCol w:w="877"/>
        <w:gridCol w:w="1704"/>
        <w:gridCol w:w="1275"/>
        <w:gridCol w:w="1540"/>
        <w:gridCol w:w="1383"/>
        <w:gridCol w:w="1271"/>
        <w:gridCol w:w="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jc w:val="center"/>
        </w:trPr>
        <w:tc>
          <w:tcPr>
            <w:tcW w:w="877"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序号</w:t>
            </w:r>
          </w:p>
        </w:tc>
        <w:tc>
          <w:tcPr>
            <w:tcW w:w="1704"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融资客户</w:t>
            </w:r>
          </w:p>
        </w:tc>
        <w:tc>
          <w:tcPr>
            <w:tcW w:w="1275"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项目名称</w:t>
            </w:r>
          </w:p>
        </w:tc>
        <w:tc>
          <w:tcPr>
            <w:tcW w:w="1540"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剩余融资期限（</w:t>
            </w:r>
            <w:r>
              <w:rPr>
                <w:rFonts w:ascii="方正仿宋简体" w:eastAsia="方正仿宋简体"/>
                <w:sz w:val="24"/>
                <w:szCs w:val="24"/>
              </w:rPr>
              <w:t>天）</w:t>
            </w:r>
          </w:p>
        </w:tc>
        <w:tc>
          <w:tcPr>
            <w:tcW w:w="1383"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到期收益分配</w:t>
            </w:r>
          </w:p>
        </w:tc>
        <w:tc>
          <w:tcPr>
            <w:tcW w:w="1271"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交易结构</w:t>
            </w:r>
          </w:p>
        </w:tc>
        <w:tc>
          <w:tcPr>
            <w:tcW w:w="876"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风险状况</w:t>
            </w:r>
          </w:p>
        </w:tc>
      </w:tr>
      <w:tr>
        <w:trPr>
          <w:trHeight w:val="571" w:hRule="atLeast"/>
          <w:jc w:val="center"/>
        </w:trPr>
        <w:tc>
          <w:tcPr>
            <w:tcW w:w="877"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蚂蚁星河(重庆)信息技术有限公司</w:t>
            </w:r>
          </w:p>
        </w:tc>
        <w:tc>
          <w:tcPr>
            <w:tcW w:w="1275"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天津信托-天实511号集合资金信托计划（第4期）</w:t>
            </w:r>
          </w:p>
        </w:tc>
        <w:tc>
          <w:tcPr>
            <w:tcW w:w="1540"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86</w:t>
            </w:r>
          </w:p>
        </w:tc>
        <w:tc>
          <w:tcPr>
            <w:tcW w:w="1383"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按月付息，到期还本</w:t>
            </w:r>
          </w:p>
        </w:tc>
        <w:tc>
          <w:tcPr>
            <w:tcW w:w="1271"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hRule="atLeast"/>
          <w:jc w:val="center"/>
        </w:trPr>
        <w:tc>
          <w:tcPr>
            <w:tcW w:w="877"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704"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云瀚信息科技有限公司</w:t>
            </w:r>
          </w:p>
        </w:tc>
        <w:tc>
          <w:tcPr>
            <w:tcW w:w="1275"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外贸信托-云虹23号集合资金信托计划</w:t>
            </w:r>
          </w:p>
        </w:tc>
        <w:tc>
          <w:tcPr>
            <w:tcW w:w="1540"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205</w:t>
            </w:r>
          </w:p>
        </w:tc>
        <w:tc>
          <w:tcPr>
            <w:tcW w:w="1383"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利随本清</w:t>
            </w:r>
          </w:p>
        </w:tc>
        <w:tc>
          <w:tcPr>
            <w:tcW w:w="1271"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bl>
    <w:p>
      <w:pPr>
        <w:spacing w:before="240" w:after="72" w:line="360" w:lineRule="auto"/>
        <w:rPr>
          <w:rFonts w:ascii="方正仿宋_GBK" w:hAnsi="宋体" w:eastAsia="方正仿宋_GBK" w:cs="宋体"/>
          <w:sz w:val="24"/>
          <w:szCs w:val="24"/>
          <w:shd w:val="clear" w:color="auto" w:fill="FFFFFF"/>
        </w:rPr>
      </w:pPr>
    </w:p>
    <w:p>
      <w:pPr>
        <w:spacing w:before="240" w:after="72" w:line="360" w:lineRule="auto"/>
        <w:jc w:val="center"/>
        <w:rPr>
          <w:rFonts w:ascii="方正仿宋简体" w:eastAsia="方正仿宋简体"/>
          <w:b/>
          <w:sz w:val="24"/>
          <w:szCs w:val="24"/>
        </w:rPr>
      </w:pPr>
      <w:r>
        <w:rPr>
          <w:rFonts w:hint="eastAsia" w:ascii="方正仿宋简体" w:eastAsia="方正仿宋简体"/>
          <w:b/>
          <w:sz w:val="24"/>
          <w:szCs w:val="24"/>
        </w:rPr>
        <w:t>§5 投资账户信息</w:t>
      </w:r>
    </w:p>
    <w:tbl>
      <w:tblPr>
        <w:tblStyle w:val="5"/>
        <w:tblpPr w:leftFromText="180" w:rightFromText="180" w:vertAnchor="text" w:tblpXSpec="center" w:tblpY="1"/>
        <w:tblOverlap w:val="never"/>
        <w:tblW w:w="89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Borders>
          <w:top w:val="single" w:sz="1" w:color="000000"/>
          <w:left w:val="single" w:sz="1" w:color="000000"/>
          <w:bottom w:val="single" w:sz="1" w:color="000000"/>
          <w:right w:val="single" w:sz="1" w:color="000000"/>
        </w:tblBorders>
        <w:tblLayout w:type="fixed"/>
        <w:tblCellMar>
          <w:top w:w="0" w:type="dxa"/>
          <w:left w:w="108" w:type="dxa"/>
          <w:bottom w:w="0" w:type="dxa"/>
          <w:right w:w="108" w:type="dxa"/>
        </w:tblCellMar>
      </w:tblPr>
      <w:tblGrid>
        <w:gridCol w:w="846"/>
        <w:gridCol w:w="1417"/>
        <w:gridCol w:w="2668"/>
        <w:gridCol w:w="1983"/>
        <w:gridCol w:w="1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46"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序号</w:t>
            </w:r>
          </w:p>
        </w:tc>
        <w:tc>
          <w:tcPr>
            <w:tcW w:w="1417"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账户类型</w:t>
            </w:r>
          </w:p>
        </w:tc>
        <w:tc>
          <w:tcPr>
            <w:tcW w:w="2668"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账号</w:t>
            </w:r>
          </w:p>
        </w:tc>
        <w:tc>
          <w:tcPr>
            <w:tcW w:w="1983"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账户名称</w:t>
            </w:r>
          </w:p>
        </w:tc>
        <w:tc>
          <w:tcPr>
            <w:tcW w:w="1988"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开户单位</w:t>
            </w:r>
          </w:p>
        </w:tc>
      </w:tr>
      <w:tr>
        <w:trPr>
          <w:trHeight w:val="584" w:hRule="atLeast"/>
          <w:jc w:val="center"/>
        </w:trPr>
        <w:tc>
          <w:tcPr>
            <w:tcW w:w="846"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417"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托管账户</w:t>
            </w:r>
          </w:p>
        </w:tc>
        <w:tc>
          <w:tcPr>
            <w:tcW w:w="2668"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0101010000001569</w:t>
            </w:r>
          </w:p>
        </w:tc>
        <w:tc>
          <w:tcPr>
            <w:tcW w:w="1983"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南银理财珠联璧合鑫逸稳一年227期</w:t>
            </w:r>
          </w:p>
        </w:tc>
        <w:tc>
          <w:tcPr>
            <w:tcW w:w="1988"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w:t>
            </w:r>
          </w:p>
        </w:tc>
      </w:tr>
    </w:tbl>
    <w:p>
      <w:pPr>
        <w:spacing w:afterLines="0" w:line="360" w:lineRule="auto"/>
        <w:rPr>
          <w:rFonts w:ascii="方正仿宋_GBK" w:eastAsia="方正仿宋_GBK"/>
          <w:sz w:val="24"/>
          <w:szCs w:val="24"/>
        </w:rPr>
      </w:pPr>
    </w:p>
    <w:p>
      <w:pPr>
        <w:spacing w:before="240" w:after="72" w:line="360" w:lineRule="auto"/>
        <w:jc w:val="center"/>
        <w:rPr>
          <w:rFonts w:ascii="方正仿宋_GBK" w:eastAsia="方正仿宋_GBK"/>
          <w:b/>
          <w:sz w:val="24"/>
          <w:szCs w:val="24"/>
        </w:rPr>
      </w:pPr>
    </w:p>
    <w:p>
      <w:pPr>
        <w:spacing w:before="240" w:after="72" w:line="360" w:lineRule="auto"/>
        <w:jc w:val="center"/>
        <w:rPr>
          <w:rFonts w:ascii="方正仿宋简体" w:eastAsia="方正仿宋简体"/>
          <w:b/>
          <w:sz w:val="24"/>
          <w:szCs w:val="24"/>
        </w:rPr>
      </w:pPr>
      <w:r>
        <w:rPr>
          <w:rFonts w:hint="eastAsia" w:ascii="方正仿宋简体" w:eastAsia="方正仿宋简体"/>
          <w:b/>
          <w:sz w:val="24"/>
          <w:szCs w:val="24"/>
        </w:rPr>
        <w:t>§6 关联交易情况</w:t>
      </w:r>
    </w:p>
    <w:p>
      <w:pPr>
        <w:spacing w:before="240" w:after="72" w:line="360" w:lineRule="auto"/>
        <w:ind w:firstLine="480" w:firstLineChars="200"/>
        <w:rPr>
          <w:rFonts w:hint="eastAsia" w:ascii="方正仿宋简体" w:eastAsia="方正仿宋简体"/>
          <w:sz w:val="24"/>
          <w:szCs w:val="24"/>
        </w:rPr>
      </w:pPr>
      <w:r>
        <w:rPr>
          <w:rFonts w:hint="eastAsia" w:ascii="方正仿宋简体" w:eastAsia="方正仿宋简体"/>
          <w:sz w:val="24"/>
          <w:szCs w:val="24"/>
        </w:rPr>
        <w:t>报告期内，</w:t>
      </w:r>
      <w:r>
        <w:rPr>
          <w:rFonts w:hint="eastAsia" w:ascii="方正仿宋简体" w:hAnsi="宋体" w:eastAsia="方正仿宋简体" w:cs="宋体"/>
          <w:color w:val="000000"/>
          <w:kern w:val="0"/>
          <w:sz w:val="24"/>
          <w:szCs w:val="24"/>
        </w:rPr>
        <w:t>产品投资于关联方发行</w:t>
      </w:r>
      <w:r>
        <w:rPr>
          <w:rFonts w:hint="eastAsia" w:ascii="方正仿宋简体" w:hAnsi="宋体" w:eastAsia="方正仿宋简体" w:cs="宋体"/>
          <w:color w:val="000000"/>
          <w:kern w:val="0"/>
          <w:sz w:val="24"/>
          <w:szCs w:val="24"/>
          <w:lang w:eastAsia="zh-CN"/>
        </w:rPr>
        <w:t>的</w:t>
      </w:r>
      <w:r>
        <w:rPr>
          <w:rFonts w:hint="eastAsia" w:ascii="方正仿宋简体" w:hAnsi="宋体" w:eastAsia="方正仿宋简体" w:cs="宋体"/>
          <w:color w:val="000000"/>
          <w:kern w:val="0"/>
          <w:sz w:val="24"/>
          <w:szCs w:val="24"/>
        </w:rPr>
        <w:t>证券</w:t>
      </w:r>
      <w:r>
        <w:rPr>
          <w:rFonts w:ascii="方正仿宋简体" w:hAnsi="宋体" w:eastAsia="方正仿宋简体" w:cs="宋体"/>
          <w:color w:val="000000"/>
          <w:kern w:val="0"/>
          <w:sz w:val="24"/>
          <w:szCs w:val="24"/>
        </w:rPr>
        <w:t/>
      </w:r>
      <w:r>
        <w:rPr>
          <w:rFonts w:hint="eastAsia" w:ascii="方正仿宋简体" w:hAnsi="宋体" w:eastAsia="方正仿宋简体" w:cs="宋体"/>
          <w:color w:val="000000"/>
          <w:kern w:val="0"/>
          <w:sz w:val="24"/>
          <w:szCs w:val="24"/>
        </w:rPr>
        <w:t/>
      </w:r>
      <w:r>
        <w:rPr>
          <w:rFonts w:hint="eastAsia" w:ascii="方正仿宋简体" w:hAnsi="宋体" w:eastAsia="方正仿宋简体" w:cs="宋体"/>
          <w:color w:val="000000"/>
          <w:kern w:val="0"/>
          <w:sz w:val="24"/>
          <w:szCs w:val="24"/>
          <w:lang w:val="en-US" w:eastAsia="zh-CN"/>
        </w:rPr>
        <w:t/>
      </w:r>
      <w:r>
        <w:rPr>
          <w:rFonts w:ascii="方正仿宋简体" w:hAnsi="宋体" w:eastAsia="方正仿宋简体" w:cs="宋体"/>
          <w:color w:val="000000"/>
          <w:kern w:val="0"/>
          <w:sz w:val="24"/>
          <w:szCs w:val="24"/>
        </w:rPr>
        <w:t>0.00</w:t>
      </w:r>
      <w:r>
        <w:rPr>
          <w:rFonts w:hint="eastAsia" w:ascii="方正仿宋简体" w:hAnsi="宋体" w:eastAsia="方正仿宋简体" w:cs="宋体"/>
          <w:color w:val="000000"/>
          <w:kern w:val="0"/>
          <w:sz w:val="24"/>
          <w:szCs w:val="24"/>
        </w:rPr>
        <w:t>元。</w:t>
      </w:r>
    </w:p>
    <w:p>
      <w:pPr>
        <w:spacing w:before="240" w:after="72" w:line="360" w:lineRule="auto"/>
        <w:ind w:firstLine="480" w:firstLineChars="200"/>
        <w:rPr>
          <w:rFonts w:hint="eastAsia" w:ascii="方正仿宋简体" w:eastAsia="方正仿宋简体"/>
          <w:sz w:val="24"/>
          <w:szCs w:val="24"/>
        </w:rPr>
      </w:pPr>
      <w:r>
        <w:rPr>
          <w:rFonts w:hint="eastAsia" w:ascii="方正仿宋简体" w:eastAsia="方正仿宋简体"/>
          <w:sz w:val="24"/>
          <w:szCs w:val="24"/>
        </w:rPr>
        <w:t>产品投资于关联方作为融资人的非标准化债权类资产业务交易金额0.00元。</w:t>
      </w:r>
    </w:p>
    <w:p>
      <w:pPr>
        <w:spacing w:before="240" w:after="72" w:line="360" w:lineRule="auto"/>
        <w:ind w:firstLine="480" w:firstLineChars="200"/>
        <w:rPr>
          <w:rFonts w:ascii="方正仿宋简体" w:eastAsia="方正仿宋简体"/>
          <w:sz w:val="24"/>
          <w:szCs w:val="24"/>
        </w:rPr>
      </w:pPr>
      <w:r>
        <w:rPr>
          <w:rFonts w:hint="eastAsia" w:ascii="方正仿宋简体" w:eastAsia="方正仿宋简体"/>
          <w:sz w:val="24"/>
          <w:szCs w:val="24"/>
        </w:rPr>
        <w:t>产品投资于关联方承销的证券交易金额0.00元。</w:t>
      </w:r>
    </w:p>
    <w:p>
      <w:pPr>
        <w:spacing w:before="240" w:after="72" w:line="360" w:lineRule="auto"/>
        <w:ind w:firstLine="480" w:firstLineChars="200"/>
        <w:rPr>
          <w:rFonts w:ascii="方正仿宋简体" w:eastAsia="方正仿宋简体"/>
          <w:sz w:val="24"/>
          <w:szCs w:val="24"/>
        </w:rPr>
      </w:pPr>
      <w:r>
        <w:rPr>
          <w:rFonts w:hint="eastAsia" w:ascii="方正仿宋简体" w:eastAsia="方正仿宋简体"/>
          <w:sz w:val="24"/>
          <w:szCs w:val="24"/>
        </w:rPr>
        <w:t>产品与关联方作为交易对手开展的投融资业务交易金额0.00元。</w:t>
      </w:r>
    </w:p>
    <w:p>
      <w:pPr>
        <w:spacing w:before="240" w:after="72" w:line="360" w:lineRule="auto"/>
        <w:ind w:firstLine="480" w:firstLineChars="200"/>
        <w:rPr>
          <w:rFonts w:ascii="方正仿宋简体" w:eastAsia="方正仿宋简体"/>
          <w:sz w:val="24"/>
          <w:szCs w:val="24"/>
        </w:rPr>
      </w:pPr>
      <w:r>
        <w:rPr>
          <w:rFonts w:hint="eastAsia" w:ascii="方正仿宋简体" w:eastAsia="方正仿宋简体"/>
          <w:sz w:val="24"/>
          <w:szCs w:val="24"/>
        </w:rPr>
        <w:t>产品投资关联方作为管理人的资产管理产品交易金额196,500,000.00元。</w:t>
      </w:r>
    </w:p>
    <w:p>
      <w:pPr>
        <w:spacing w:before="240" w:after="72" w:line="360" w:lineRule="auto"/>
        <w:ind w:firstLine="480" w:firstLineChars="200"/>
        <w:rPr>
          <w:rFonts w:ascii="方正仿宋简体" w:eastAsia="方正仿宋简体"/>
          <w:sz w:val="24"/>
          <w:szCs w:val="24"/>
        </w:rPr>
      </w:pPr>
      <w:r>
        <w:rPr>
          <w:rFonts w:hint="eastAsia" w:ascii="方正仿宋简体" w:eastAsia="方正仿宋简体"/>
          <w:sz w:val="24"/>
          <w:szCs w:val="24"/>
        </w:rPr>
        <w:t>产品支付关联方托管费0.00元，支付关联方代销费261,342.18元。</w:t>
      </w:r>
    </w:p>
    <w:p>
      <w:pPr>
        <w:spacing w:before="240" w:after="72" w:line="360" w:lineRule="auto"/>
        <w:ind w:firstLine="480" w:firstLineChars="200"/>
        <w:rPr>
          <w:rFonts w:ascii="方正仿宋简体" w:eastAsia="方正仿宋简体"/>
          <w:sz w:val="24"/>
          <w:szCs w:val="24"/>
        </w:rPr>
      </w:pPr>
      <w:r>
        <w:rPr>
          <w:rFonts w:hint="eastAsia" w:ascii="方正仿宋简体" w:eastAsia="方正仿宋简体"/>
          <w:sz w:val="24"/>
          <w:szCs w:val="24"/>
        </w:rPr>
        <w:t>产品发生其他关联交易金额0.00元。</w:t>
      </w:r>
    </w:p>
    <w:p>
      <w:pPr>
        <w:spacing w:before="240" w:after="72" w:line="360" w:lineRule="auto"/>
        <w:ind w:firstLine="480" w:firstLineChars="200"/>
        <w:rPr>
          <w:rFonts w:ascii="方正仿宋简体" w:eastAsia="方正仿宋简体"/>
          <w:sz w:val="24"/>
          <w:szCs w:val="24"/>
        </w:rPr>
      </w:pPr>
      <w:r>
        <w:rPr>
          <w:rFonts w:hint="eastAsia" w:ascii="方正仿宋简体" w:eastAsia="方正仿宋简体"/>
          <w:sz w:val="24"/>
          <w:szCs w:val="24"/>
        </w:rPr>
        <w:t>报告期内，产品未发生重大关联交易。</w:t>
      </w:r>
    </w:p>
    <w:p>
      <w:pPr>
        <w:spacing w:before="240" w:after="72" w:line="360" w:lineRule="auto"/>
        <w:rPr>
          <w:rFonts w:ascii="方正仿宋_GBK" w:hAnsi="宋体" w:eastAsia="方正仿宋_GBK" w:cs="宋体"/>
          <w:kern w:val="0"/>
          <w:sz w:val="24"/>
          <w:szCs w:val="24"/>
        </w:rPr>
      </w:pPr>
    </w:p>
    <w:p>
      <w:pPr>
        <w:spacing w:before="240" w:after="72" w:line="360" w:lineRule="auto"/>
        <w:rPr>
          <w:rFonts w:ascii="方正仿宋_GBK" w:hAnsi="宋体" w:eastAsia="方正仿宋_GBK" w:cs="宋体"/>
          <w:kern w:val="0"/>
          <w:sz w:val="24"/>
          <w:szCs w:val="24"/>
        </w:rPr>
      </w:pPr>
    </w:p>
    <w:p>
      <w:pPr>
        <w:spacing w:before="240" w:after="72" w:line="360" w:lineRule="auto"/>
        <w:jc w:val="right"/>
        <w:rPr>
          <w:rFonts w:ascii="方正仿宋_GBK" w:eastAsia="方正仿宋_GBK"/>
          <w:b/>
          <w:sz w:val="24"/>
          <w:szCs w:val="24"/>
        </w:rPr>
      </w:pPr>
    </w:p>
    <w:p>
      <w:pPr>
        <w:spacing w:before="240" w:after="72" w:line="360" w:lineRule="auto"/>
        <w:jc w:val="right"/>
        <w:rPr>
          <w:rFonts w:ascii="方正仿宋简体" w:eastAsia="方正仿宋简体"/>
          <w:b/>
          <w:sz w:val="24"/>
          <w:szCs w:val="24"/>
        </w:rPr>
      </w:pPr>
      <w:r>
        <w:rPr>
          <w:rFonts w:hint="eastAsia" w:ascii="方正仿宋简体" w:eastAsia="方正仿宋简体"/>
          <w:b/>
          <w:sz w:val="24"/>
          <w:szCs w:val="24"/>
        </w:rPr>
        <w:t>南银理财有限责任公司</w:t>
      </w:r>
    </w:p>
    <w:p>
      <w:pPr>
        <w:spacing w:before="240" w:after="72" w:line="360" w:lineRule="auto"/>
        <w:jc w:val="right"/>
        <w:rPr>
          <w:rFonts w:ascii="方正仿宋_GBK" w:eastAsia="方正仿宋_GBK"/>
          <w:sz w:val="24"/>
          <w:szCs w:val="24"/>
        </w:rPr>
      </w:pPr>
      <w:r>
        <w:rPr>
          <w:rFonts w:hint="eastAsia" w:ascii="方正仿宋简体" w:eastAsia="方正仿宋简体"/>
          <w:b/>
          <w:sz w:val="24"/>
          <w:szCs w:val="24"/>
        </w:rPr>
        <w:t>2025年12月31日</w:t>
      </w:r>
      <w:bookmarkStart w:id="0" w:name="_GoBack"/>
      <w:bookmarkEnd w:id="0"/>
    </w:p>
    <w:sectPr>
      <w:headerReference r:id="rId6" w:type="first"/>
      <w:footerReference r:id="rId9" w:type="first"/>
      <w:headerReference r:id="rId4" w:type="default"/>
      <w:footerReference r:id="rId7" w:type="default"/>
      <w:headerReference r:id="rId5" w:type="even"/>
      <w:footerReference r:id="rId8" w:type="even"/>
      <w:pgSz w:w="11926" w:h="16867"/>
      <w:pgMar w:top="1418" w:right="1418" w:bottom="853"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简体">
    <w:panose1 w:val="03000509000000000000"/>
    <w:charset w:val="86"/>
    <w:family w:val="script"/>
    <w:pitch w:val="default"/>
    <w:sig w:usb0="00000001" w:usb1="080E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after="7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spacing w:after="72"/>
      <w:rPr>
        <w:rStyle w:val="7"/>
      </w:rPr>
    </w:pPr>
    <w:r>
      <w:fldChar w:fldCharType="begin"/>
    </w:r>
    <w:r>
      <w:rPr>
        <w:rStyle w:val="7"/>
      </w:rPr>
      <w:instrText xml:space="preserve">PAGE  </w:instrText>
    </w:r>
    <w:r>
      <w:fldChar w:fldCharType="end"/>
    </w:r>
  </w:p>
  <w:p>
    <w:pPr>
      <w:pStyle w:val="2"/>
      <w:spacing w:after="7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after="7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after="7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after="7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after="7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WYyNWQ5MDZiYWM3OWVhN2E1ZmU3ZDVmOTg3Nzk4MzgifQ=="/>
  </w:docVars>
  <w:rsids>
    <w:rsidRoot w:val="005A7904"/>
    <w:rsid w:val="00012CAC"/>
    <w:rsid w:val="00041771"/>
    <w:rsid w:val="000532CC"/>
    <w:rsid w:val="00063EA9"/>
    <w:rsid w:val="00072345"/>
    <w:rsid w:val="00072AD4"/>
    <w:rsid w:val="00074655"/>
    <w:rsid w:val="00075628"/>
    <w:rsid w:val="0007673D"/>
    <w:rsid w:val="000C0CDF"/>
    <w:rsid w:val="00103A35"/>
    <w:rsid w:val="001129D2"/>
    <w:rsid w:val="00137120"/>
    <w:rsid w:val="00142497"/>
    <w:rsid w:val="0018311F"/>
    <w:rsid w:val="00201F77"/>
    <w:rsid w:val="00232109"/>
    <w:rsid w:val="00232DB0"/>
    <w:rsid w:val="002344B0"/>
    <w:rsid w:val="00244B70"/>
    <w:rsid w:val="002624BA"/>
    <w:rsid w:val="00262B4B"/>
    <w:rsid w:val="002867ED"/>
    <w:rsid w:val="002A2BCE"/>
    <w:rsid w:val="002A5314"/>
    <w:rsid w:val="002B165D"/>
    <w:rsid w:val="002E3543"/>
    <w:rsid w:val="002E5873"/>
    <w:rsid w:val="002F5C12"/>
    <w:rsid w:val="0031044B"/>
    <w:rsid w:val="00320EE0"/>
    <w:rsid w:val="0032248B"/>
    <w:rsid w:val="00327DCA"/>
    <w:rsid w:val="0034437E"/>
    <w:rsid w:val="00375C09"/>
    <w:rsid w:val="003956D3"/>
    <w:rsid w:val="003B2C2B"/>
    <w:rsid w:val="003C00A0"/>
    <w:rsid w:val="003D3C54"/>
    <w:rsid w:val="003F013A"/>
    <w:rsid w:val="0040415E"/>
    <w:rsid w:val="00414B37"/>
    <w:rsid w:val="00427D95"/>
    <w:rsid w:val="00432880"/>
    <w:rsid w:val="00451C56"/>
    <w:rsid w:val="004601C9"/>
    <w:rsid w:val="004633DF"/>
    <w:rsid w:val="004822D3"/>
    <w:rsid w:val="00486D6C"/>
    <w:rsid w:val="00494CBA"/>
    <w:rsid w:val="004B750B"/>
    <w:rsid w:val="004D15C6"/>
    <w:rsid w:val="004E5012"/>
    <w:rsid w:val="004F595C"/>
    <w:rsid w:val="00503A1E"/>
    <w:rsid w:val="00505062"/>
    <w:rsid w:val="005117FF"/>
    <w:rsid w:val="0052308E"/>
    <w:rsid w:val="00524B4A"/>
    <w:rsid w:val="00531855"/>
    <w:rsid w:val="00537A01"/>
    <w:rsid w:val="0055573F"/>
    <w:rsid w:val="00573EE2"/>
    <w:rsid w:val="00595C46"/>
    <w:rsid w:val="005A7904"/>
    <w:rsid w:val="005B5E17"/>
    <w:rsid w:val="005C595B"/>
    <w:rsid w:val="005C763A"/>
    <w:rsid w:val="005D04CF"/>
    <w:rsid w:val="005F4A24"/>
    <w:rsid w:val="006143B7"/>
    <w:rsid w:val="00624BF8"/>
    <w:rsid w:val="00631F68"/>
    <w:rsid w:val="00640498"/>
    <w:rsid w:val="00642207"/>
    <w:rsid w:val="00643B36"/>
    <w:rsid w:val="00650C13"/>
    <w:rsid w:val="00656546"/>
    <w:rsid w:val="00675A8D"/>
    <w:rsid w:val="00676A68"/>
    <w:rsid w:val="00676EE8"/>
    <w:rsid w:val="0068398A"/>
    <w:rsid w:val="0068509B"/>
    <w:rsid w:val="00695491"/>
    <w:rsid w:val="006C7930"/>
    <w:rsid w:val="006D1D83"/>
    <w:rsid w:val="006E3DA2"/>
    <w:rsid w:val="00704BBE"/>
    <w:rsid w:val="007120E8"/>
    <w:rsid w:val="00723B0B"/>
    <w:rsid w:val="0072595B"/>
    <w:rsid w:val="00731D12"/>
    <w:rsid w:val="00735299"/>
    <w:rsid w:val="00735F94"/>
    <w:rsid w:val="00743D27"/>
    <w:rsid w:val="007440B8"/>
    <w:rsid w:val="00751294"/>
    <w:rsid w:val="00763229"/>
    <w:rsid w:val="00766941"/>
    <w:rsid w:val="007672C3"/>
    <w:rsid w:val="007816A9"/>
    <w:rsid w:val="00793EAE"/>
    <w:rsid w:val="00793F12"/>
    <w:rsid w:val="00794F8E"/>
    <w:rsid w:val="007B65F9"/>
    <w:rsid w:val="007C0575"/>
    <w:rsid w:val="007C36B2"/>
    <w:rsid w:val="007D32E0"/>
    <w:rsid w:val="007E2BB3"/>
    <w:rsid w:val="007E50AE"/>
    <w:rsid w:val="007F53C8"/>
    <w:rsid w:val="00801EF3"/>
    <w:rsid w:val="0080768D"/>
    <w:rsid w:val="00810A55"/>
    <w:rsid w:val="00870344"/>
    <w:rsid w:val="00870AE4"/>
    <w:rsid w:val="0087631D"/>
    <w:rsid w:val="00883B64"/>
    <w:rsid w:val="00896D5D"/>
    <w:rsid w:val="008B06B0"/>
    <w:rsid w:val="008B0D1E"/>
    <w:rsid w:val="008E1A84"/>
    <w:rsid w:val="008F5BE6"/>
    <w:rsid w:val="008F5F21"/>
    <w:rsid w:val="008F6281"/>
    <w:rsid w:val="00902434"/>
    <w:rsid w:val="0093559E"/>
    <w:rsid w:val="009371B9"/>
    <w:rsid w:val="009515A9"/>
    <w:rsid w:val="009800BA"/>
    <w:rsid w:val="0098497E"/>
    <w:rsid w:val="00985734"/>
    <w:rsid w:val="009B41A7"/>
    <w:rsid w:val="009D656A"/>
    <w:rsid w:val="009D6D5E"/>
    <w:rsid w:val="009E2AE4"/>
    <w:rsid w:val="009E6E45"/>
    <w:rsid w:val="009F7125"/>
    <w:rsid w:val="00A21516"/>
    <w:rsid w:val="00A274D5"/>
    <w:rsid w:val="00A60FAC"/>
    <w:rsid w:val="00A72E96"/>
    <w:rsid w:val="00A7691A"/>
    <w:rsid w:val="00AB2343"/>
    <w:rsid w:val="00AB572D"/>
    <w:rsid w:val="00AB5ADF"/>
    <w:rsid w:val="00AC1D30"/>
    <w:rsid w:val="00AE27AA"/>
    <w:rsid w:val="00AE2FD4"/>
    <w:rsid w:val="00AE7758"/>
    <w:rsid w:val="00B0184E"/>
    <w:rsid w:val="00B072C9"/>
    <w:rsid w:val="00B146F0"/>
    <w:rsid w:val="00B23FA8"/>
    <w:rsid w:val="00B30356"/>
    <w:rsid w:val="00B31DA4"/>
    <w:rsid w:val="00B31E80"/>
    <w:rsid w:val="00B40016"/>
    <w:rsid w:val="00B54020"/>
    <w:rsid w:val="00B55F33"/>
    <w:rsid w:val="00B6652C"/>
    <w:rsid w:val="00B74684"/>
    <w:rsid w:val="00B86805"/>
    <w:rsid w:val="00B921B8"/>
    <w:rsid w:val="00BA2C30"/>
    <w:rsid w:val="00BA4534"/>
    <w:rsid w:val="00BB1418"/>
    <w:rsid w:val="00BC2953"/>
    <w:rsid w:val="00BD0BFD"/>
    <w:rsid w:val="00C14418"/>
    <w:rsid w:val="00C4285D"/>
    <w:rsid w:val="00C62A28"/>
    <w:rsid w:val="00CA36B2"/>
    <w:rsid w:val="00CA4B23"/>
    <w:rsid w:val="00CB67FC"/>
    <w:rsid w:val="00CC703B"/>
    <w:rsid w:val="00CF49CF"/>
    <w:rsid w:val="00D0321E"/>
    <w:rsid w:val="00D1704F"/>
    <w:rsid w:val="00D22C40"/>
    <w:rsid w:val="00D35825"/>
    <w:rsid w:val="00D46EBF"/>
    <w:rsid w:val="00D61130"/>
    <w:rsid w:val="00D76555"/>
    <w:rsid w:val="00D873B3"/>
    <w:rsid w:val="00DA576C"/>
    <w:rsid w:val="00DA57F4"/>
    <w:rsid w:val="00DB4AFE"/>
    <w:rsid w:val="00DD2B26"/>
    <w:rsid w:val="00DD60D3"/>
    <w:rsid w:val="00DE6F49"/>
    <w:rsid w:val="00E07C77"/>
    <w:rsid w:val="00E2696A"/>
    <w:rsid w:val="00E41BB2"/>
    <w:rsid w:val="00E463CC"/>
    <w:rsid w:val="00E60602"/>
    <w:rsid w:val="00E66EA9"/>
    <w:rsid w:val="00E76CD6"/>
    <w:rsid w:val="00E80B2A"/>
    <w:rsid w:val="00EA36AD"/>
    <w:rsid w:val="00EB538F"/>
    <w:rsid w:val="00EB5E48"/>
    <w:rsid w:val="00EB6923"/>
    <w:rsid w:val="00EF160C"/>
    <w:rsid w:val="00EF651B"/>
    <w:rsid w:val="00F02F01"/>
    <w:rsid w:val="00F07A35"/>
    <w:rsid w:val="00F11AF8"/>
    <w:rsid w:val="00F12482"/>
    <w:rsid w:val="00F35159"/>
    <w:rsid w:val="00F4518F"/>
    <w:rsid w:val="00F62D3E"/>
    <w:rsid w:val="00F81FB3"/>
    <w:rsid w:val="00F91E69"/>
    <w:rsid w:val="00F95842"/>
    <w:rsid w:val="00FA4B34"/>
    <w:rsid w:val="00FD3F28"/>
    <w:rsid w:val="00FD4626"/>
    <w:rsid w:val="00FE2FF5"/>
    <w:rsid w:val="00FE56AA"/>
    <w:rsid w:val="138B4249"/>
    <w:rsid w:val="1F1A3BC0"/>
    <w:rsid w:val="2651710C"/>
    <w:rsid w:val="2C5F4270"/>
    <w:rsid w:val="341F714B"/>
    <w:rsid w:val="49AA3EC1"/>
    <w:rsid w:val="57DD4EC8"/>
    <w:rsid w:val="611546EB"/>
    <w:rsid w:val="6C686480"/>
    <w:rsid w:val="6DBF574D"/>
    <w:rsid w:val="7DD40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Lines="30"/>
      <w:jc w:val="both"/>
    </w:pPr>
    <w:rPr>
      <w:rFonts w:ascii="Times New Roman" w:hAnsi="Times New Roman" w:eastAsia="宋体" w:cs="Times New Roman"/>
      <w:kern w:val="2"/>
      <w:sz w:val="21"/>
      <w:szCs w:val="22"/>
      <w:lang w:val="en-US" w:eastAsia="zh-CN" w:bidi="ar-SA"/>
    </w:rPr>
  </w:style>
  <w:style w:type="character" w:default="1" w:styleId="6">
    <w:name w:val="Default Paragraph Font"/>
    <w:unhideWhenUsed/>
    <w:uiPriority w:val="1"/>
  </w:style>
  <w:style w:type="table" w:default="1" w:styleId="5">
    <w:name w:val="Normal Table"/>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eastAsiaTheme="minorEastAsia"/>
      <w:sz w:val="18"/>
      <w:szCs w:val="18"/>
    </w:rPr>
  </w:style>
  <w:style w:type="paragraph" w:styleId="3">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kern w:val="0"/>
      <w:sz w:val="24"/>
      <w:szCs w:val="24"/>
    </w:rPr>
  </w:style>
  <w:style w:type="character" w:styleId="7">
    <w:name w:val="page number"/>
    <w:basedOn w:val="6"/>
    <w:unhideWhenUsed/>
    <w:qFormat/>
    <w:uiPriority w:val="99"/>
  </w:style>
  <w:style w:type="character" w:customStyle="1" w:styleId="8">
    <w:name w:val="页脚 Char"/>
    <w:link w:val="2"/>
    <w:qFormat/>
    <w:locked/>
    <w:uiPriority w:val="99"/>
    <w:rPr>
      <w:rFonts w:ascii="Times New Roman" w:hAnsi="Times New Roman" w:cs="Times New Roman"/>
      <w:sz w:val="18"/>
      <w:szCs w:val="18"/>
    </w:rPr>
  </w:style>
  <w:style w:type="character" w:customStyle="1" w:styleId="9">
    <w:name w:val="页脚 Char1"/>
    <w:basedOn w:val="6"/>
    <w:semiHidden/>
    <w:qFormat/>
    <w:uiPriority w:val="99"/>
    <w:rPr>
      <w:rFonts w:ascii="Times New Roman" w:hAnsi="Times New Roman" w:eastAsia="宋体" w:cs="Times New Roman"/>
      <w:sz w:val="18"/>
      <w:szCs w:val="18"/>
    </w:rPr>
  </w:style>
  <w:style w:type="paragraph" w:customStyle="1" w:styleId="10">
    <w:name w:val="biaoge_left"/>
    <w:basedOn w:val="1"/>
    <w:qFormat/>
    <w:uiPriority w:val="0"/>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11">
    <w:name w:val="zhangjie_p2"/>
    <w:basedOn w:val="1"/>
    <w:qFormat/>
    <w:uiPriority w:val="0"/>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12">
    <w:name w:val="biaoge_center"/>
    <w:basedOn w:val="1"/>
    <w:qFormat/>
    <w:uiPriority w:val="0"/>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13">
    <w:name w:val="dazhangjie"/>
    <w:basedOn w:val="1"/>
    <w:qFormat/>
    <w:uiPriority w:val="0"/>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14">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15">
    <w:name w:val="biaoge_right"/>
    <w:basedOn w:val="1"/>
    <w:qFormat/>
    <w:uiPriority w:val="0"/>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16">
    <w:name w:val="neirong"/>
    <w:basedOn w:val="1"/>
    <w:qFormat/>
    <w:uiPriority w:val="0"/>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17">
    <w:name w:val="zhangjie_p"/>
    <w:basedOn w:val="1"/>
    <w:qFormat/>
    <w:uiPriority w:val="0"/>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1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9">
    <w:name w:val="页眉 Char"/>
    <w:basedOn w:val="6"/>
    <w:link w:val="3"/>
    <w:qFormat/>
    <w:uiPriority w:val="99"/>
    <w:rPr>
      <w:rFonts w:ascii="Times New Roman" w:hAnsi="Times New Roman" w:eastAsia="宋体" w:cs="Times New Roman"/>
      <w:sz w:val="18"/>
      <w:szCs w:val="18"/>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11" Target="fontTable.xml" Type="http://schemas.openxmlformats.org/officeDocument/2006/relationships/fontTable"/><Relationship Id="rId2" Target="settings.xml" Type="http://schemas.openxmlformats.org/officeDocument/2006/relationships/settings"/><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header3.xml" Type="http://schemas.openxmlformats.org/officeDocument/2006/relationships/header"/><Relationship Id="rId7" Target="footer1.xml" Type="http://schemas.openxmlformats.org/officeDocument/2006/relationships/footer"/><Relationship Id="rId8" Target="footer2.xml" Type="http://schemas.openxmlformats.org/officeDocument/2006/relationships/footer"/><Relationship Id="rId9" Target="footer3.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cc</Company>
  <Pages>6</Pages>
  <Words>315</Words>
  <Characters>1797</Characters>
  <Lines>14</Lines>
  <Paragraphs>4</Paragraphs>
  <TotalTime>0</TotalTime>
  <ScaleCrop>false</ScaleCrop>
  <LinksUpToDate>false</LinksUpToDate>
  <CharactersWithSpaces>2108</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2022-08-03T07:42:00Z</dcterms:created>
  <dc:creator>演示人</dc:creator>
  <cp:lastModifiedBy>h04vdi1428</cp:lastModifiedBy>
  <dcterms:modified xsi:type="dcterms:W3CDTF">2025-09-04T00:54:56Z</dcterms:modified>
  <cp:revision>116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65B57D7BDF384424A76A3B84B5FDE380</vt:lpwstr>
  </property>
</Properties>
</file>