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南银理财鼎瑞悦稳（最低持有7天）2号公募人民币理财产品</w:t>
      </w: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2025年第4季度报告</w:t>
      </w: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产品管理人:南银理财有限责任公司</w:t>
      </w: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产品托管人:南京银行股份有限公司</w:t>
      </w:r>
    </w:p>
    <w:p>
      <w:pPr>
        <w:spacing w:before="240" w:after="72" w:line="360" w:lineRule="auto"/>
        <w:rPr>
          <w:rFonts w:ascii="方正黑体简体" w:eastAsia="方正黑体简体"/>
          <w:sz w:val="36"/>
          <w:szCs w:val="36"/>
        </w:rPr>
      </w:pPr>
    </w:p>
    <w:p>
      <w:pPr>
        <w:spacing w:before="240" w:after="72" w:line="360" w:lineRule="auto"/>
        <w:rPr>
          <w:rFonts w:ascii="方正黑体简体" w:eastAsia="方正黑体简体"/>
          <w:sz w:val="36"/>
          <w:szCs w:val="36"/>
        </w:rPr>
      </w:pPr>
    </w:p>
    <w:p>
      <w:pPr>
        <w:widowControl/>
        <w:spacing w:before="240" w:afterLines="0" w:line="360" w:lineRule="auto"/>
        <w:jc w:val="left"/>
        <w:rPr>
          <w:rFonts w:ascii="方正仿宋_GBK" w:hAnsi="Calibri" w:eastAsia="方正仿宋_GBK"/>
          <w:b/>
        </w:rPr>
      </w:pPr>
      <w:r>
        <w:rPr>
          <w:rFonts w:ascii="方正仿宋_GBK" w:hAnsi="Calibri" w:eastAsia="方正仿宋_GBK"/>
          <w:b/>
        </w:rPr>
        <w:br w:type="page"/>
      </w: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§1 产品概况</w:t>
      </w:r>
    </w:p>
    <w:tbl>
      <w:tblPr>
        <w:tblStyle w:val="5"/>
        <w:tblpPr w:leftFromText="180" w:rightFromText="180" w:vertAnchor="text" w:tblpY="1"/>
        <w:tblOverlap w:val="never"/>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2719"/>
        <w:gridCol w:w="6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产品全称</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南银理财鼎瑞悦稳（最低持有7天）2号公募人民币理财产品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产品登记编码</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Z7003224000019（投资者可依据该编码在中国理财网www.chinawealth.com.cn查询理财产品相关信息）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产品运作方式</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产品成立日</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2024年01月11日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报告期末产品份额总额</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2,078,012,161.94份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合作机构</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中粮信托有限责任公司,华泰资产管理有限公司,国投泰康信托有限公司,紫金信托有限责任公司,陆家嘴国际信托有限公司,建信保险资产管理有限公司,泰康资产管理有限责任公司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产品管理人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产品托管人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南京银行股份有限公司</w:t>
            </w:r>
          </w:p>
        </w:tc>
      </w:tr>
    </w:tbl>
    <w:p>
      <w:pPr>
        <w:spacing w:before="240" w:after="72" w:line="360" w:lineRule="auto"/>
        <w:rPr>
          <w:rFonts w:ascii="方正仿宋_GBK" w:hAnsi="宋体" w:eastAsia="方正仿宋_GBK" w:cs="宋体"/>
          <w:kern w:val="0"/>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§2  主要财务指标</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2.1 主要财务指标</w:t>
      </w:r>
    </w:p>
    <w:p>
      <w:pPr>
        <w:spacing w:before="240" w:after="72" w:line="360" w:lineRule="auto"/>
        <w:jc w:val="right"/>
        <w:rPr>
          <w:rFonts w:ascii="方正仿宋简体" w:eastAsia="方正仿宋简体"/>
          <w:sz w:val="24"/>
          <w:szCs w:val="24"/>
        </w:rPr>
      </w:pPr>
      <w:r>
        <w:rPr>
          <w:rFonts w:hint="eastAsia" w:ascii="方正仿宋简体" w:eastAsia="方正仿宋简体"/>
          <w:sz w:val="24"/>
          <w:szCs w:val="24"/>
        </w:rPr>
        <w:t>单位：人民币元</w:t>
      </w:r>
    </w:p>
    <w:tbl>
      <w:tblPr>
        <w:tblStyle w:val="5"/>
        <w:tblpPr w:leftFromText="180" w:rightFromText="180" w:vertAnchor="text" w:tblpXSpec="center" w:tblpY="1"/>
        <w:tblOverlap w:val="neve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1838"/>
        <w:gridCol w:w="2693"/>
        <w:gridCol w:w="241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38" w:type="dxa"/>
            <w:vMerge w:val="restart"/>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内部销售代码</w:t>
            </w:r>
          </w:p>
        </w:tc>
        <w:tc>
          <w:tcPr>
            <w:tcW w:w="7229" w:type="dxa"/>
            <w:gridSpan w:val="3"/>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报告期（2025年10月01日 - 2025年12月31日）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838" w:type="dxa"/>
            <w:vMerge w:val="continue"/>
            <w:vAlign w:val="center"/>
          </w:tcPr>
          <w:p>
            <w:pPr>
              <w:spacing w:before="48" w:beforeLines="20" w:after="48" w:afterLines="20"/>
              <w:jc w:val="center"/>
              <w:rPr>
                <w:rFonts w:ascii="方正仿宋简体" w:eastAsia="方正仿宋简体"/>
                <w:sz w:val="24"/>
                <w:szCs w:val="24"/>
              </w:rPr>
            </w:pPr>
          </w:p>
        </w:tc>
        <w:tc>
          <w:tcPr>
            <w:tcW w:w="269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1.期末产品最后一个市场交易日资产净值</w:t>
            </w:r>
          </w:p>
        </w:tc>
        <w:tc>
          <w:tcPr>
            <w:tcW w:w="241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2.期末产品最后一个市场交易日份额净值</w:t>
            </w:r>
          </w:p>
        </w:tc>
        <w:tc>
          <w:tcPr>
            <w:tcW w:w="212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3.期末产品最后一个市场交易日份额累计净值</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A32017</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672,085,892.30</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1.048294</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1.048294</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A32018</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1,050,671.75</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1.050671</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1.050671</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A32019</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503,132,390.04</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1.047387</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1.047387</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A32024</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967,990,508.69</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1.045469</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1.045469</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A32025</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24,173,477.61</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1.043462</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1.043462</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A32026</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6,771,090.56</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1.047729</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1.047729</w:t>
            </w:r>
          </w:p>
        </w:tc>
      </w:tr>
    </w:tbl>
    <w:p>
      <w:pPr>
        <w:pStyle w:val="10"/>
        <w:spacing w:before="240" w:after="72" w:line="360" w:lineRule="auto"/>
        <w:ind w:left="0"/>
        <w:rPr>
          <w:rFonts w:ascii="方正仿宋简体" w:hAnsi="Times New Roman" w:eastAsia="方正仿宋简体" w:cs="Times New Roman"/>
          <w:kern w:val="2"/>
        </w:rPr>
      </w:pPr>
      <w:r>
        <w:rPr>
          <w:rFonts w:hint="eastAsia" w:ascii="方正仿宋简体" w:hAnsi="Times New Roman" w:eastAsia="方正仿宋简体" w:cs="Times New Roman"/>
          <w:kern w:val="2"/>
        </w:rPr>
        <w:t>注：产品净值可能存在未扣除管理人及投资合作机构业绩报酬、赎回费等费用（如有）的情况，实际收益以兑付为准。</w:t>
      </w:r>
    </w:p>
    <w:p>
      <w:pPr>
        <w:spacing w:before="240" w:after="72" w:line="360" w:lineRule="auto"/>
        <w:rPr>
          <w:rFonts w:ascii="方正仿宋_GBK"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§3  管理人报告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3.1 报告期内产品的投资策略和运作分析</w:t>
      </w:r>
    </w:p>
    <w:p>
      <w:pPr>
        <w:spacing w:before="240" w:after="72" w:line="360" w:lineRule="auto"/>
        <w:rPr>
          <w:rFonts w:ascii="方正仿宋简体" w:eastAsia="方正仿宋简体"/>
          <w:sz w:val="24"/>
          <w:szCs w:val="24"/>
        </w:rPr>
      </w:pPr>
      <w:r>
        <w:rPr>
          <w:rFonts w:hint="eastAsia" w:ascii="方正仿宋简体" w:eastAsia="方正仿宋简体"/>
          <w:sz w:val="24"/>
          <w:szCs w:val="24"/>
        </w:rPr>
        <w:t>  四季度债市利空因素边际缓解，基金销售费率新规影响下机构赎回边际放缓，央行重启国债买卖，机构博弈利差压缩收益，信用债配置情绪整体有所修复，年末万科债券展期，重要会议释放货币宽松信号，央行呵护跨年资金面，但超长债供给时有扰动，债券收益率窄幅波动，十年国债到期收益率先下后上从1.86%微幅下行至1.85%。</w:t>
        <w:br w:type="textWrapping" w:clear="all"/>
      </w:r>
      <w:r>
        <w:rPr>
          <w:rFonts w:hint="eastAsia" w:ascii="方正仿宋简体" w:eastAsia="方正仿宋简体"/>
          <w:sz w:val="24"/>
          <w:szCs w:val="24"/>
        </w:rPr>
        <w:t>  展望后市，一方面经济弱复苏格局延续，内需疲软、通缩压力仍存，制造业PMI及核心CPI数据持续承压，为货币政策维持宽松提供空间，叠加资金面大概率保持充裕，债市仍具备结构性机会。另一方面长久期债券供需矛盾凸显，超长债供给抬升但基金、保险等配置需求减弱，期限结构错配问题待解，制约长端利率下行空间。后续关注政府债供给节奏、货币政策落地力度、两会政策预期及信用风险事件等因素带来的市场变动，把握波动带来的资产配置窗口。</w:t>
        <w:br w:type="textWrapping" w:clear="all"/>
      </w:r>
      <w:r>
        <w:rPr>
          <w:rFonts w:hint="eastAsia" w:ascii="方正仿宋简体" w:eastAsia="方正仿宋简体"/>
          <w:sz w:val="24"/>
          <w:szCs w:val="24"/>
        </w:rPr>
        <w:t>  产品始终围绕稳健回报的收益目标进行操作，通过持有信用资质较好、绝对收益相对较高的江浙等发达省市信用债作为底仓，获取稳定可靠的票息收益；同时增加同业存单、存款等高流动性资产仓位保证流动性安全，控制回撤。基于对后市的判断，产品将灵活调整杠杆与久期，实现产品净值在合理区间内保持相对稳定；同时加强市场与品种研判，在控制好风险的前提下博取超额收益。</w:t>
      </w:r>
      <w:r>
        <w:rPr>
          <w:rFonts w:hint="eastAsia" w:ascii="方正仿宋简体" w:eastAsia="方正仿宋简体"/>
          <w:sz w:val="24"/>
          <w:szCs w:val="24"/>
        </w:rPr>
        <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3.2 报告期内产品的流动性风险分析</w:t>
      </w:r>
    </w:p>
    <w:p>
      <w:pPr>
        <w:spacing w:before="240" w:after="72" w:line="360" w:lineRule="auto"/>
        <w:rPr>
          <w:rFonts w:ascii="方正仿宋简体" w:eastAsia="方正仿宋简体"/>
          <w:sz w:val="24"/>
          <w:szCs w:val="24"/>
        </w:rPr>
      </w:pPr>
      <w:r>
        <w:rPr>
          <w:rFonts w:ascii="方正仿宋简体" w:eastAsia="方正仿宋简体"/>
          <w:sz w:val="24"/>
          <w:szCs w:val="24"/>
        </w:rPr>
        <w:t>  本产品持仓中维持合理比例高流动性资产，杠杆处于合理水平，流动性状况较好。</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3.3 报告期内产品的业绩表现</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截至报告期末，本产品A32017份额净值为1.048294元，A32018份额净值为1.050671元，A32019份额净值为1.047387元，A32024份额净值为1.045469元，A32025份额净值为1.043462元，A32026份额净值为1.047729元。</w:t>
      </w:r>
    </w:p>
    <w:p>
      <w:pPr>
        <w:spacing w:before="240" w:after="72" w:line="360" w:lineRule="auto"/>
        <w:rPr>
          <w:rFonts w:ascii="方正仿宋_GBK" w:hAnsi="宋体"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§4  投资组合报告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4.1 报告期末产品资产组合情况</w:t>
      </w:r>
    </w:p>
    <w:tbl>
      <w:tblPr>
        <w:tblStyle w:val="5"/>
        <w:tblpPr w:leftFromText="180" w:rightFromText="180" w:vertAnchor="text" w:tblpXSpec="center" w:tblpY="1"/>
        <w:tblOverlap w:val="never"/>
        <w:tblW w:w="88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45"/>
        <w:gridCol w:w="1859"/>
        <w:gridCol w:w="3002"/>
        <w:gridCol w:w="3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资产类别</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穿透前占总资产比例</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穿透后占总资产比例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固定收益类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98.18%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权益类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商品及金融衍生品类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4</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混合类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5</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合计</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r>
    </w:tbl>
    <w:p>
      <w:pPr>
        <w:spacing w:before="240" w:after="72" w:line="360" w:lineRule="auto"/>
        <w:rPr>
          <w:rFonts w:ascii="方正仿宋_GBK" w:eastAsia="方正仿宋_GBK"/>
          <w:sz w:val="24"/>
          <w:szCs w:val="24"/>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4.2 报告期末按公允价值占产品资产净值比例大小排序的前十名资产投资明细</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50"/>
        <w:gridCol w:w="1581"/>
        <w:gridCol w:w="2712"/>
        <w:gridCol w:w="205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5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58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代码</w:t>
            </w:r>
          </w:p>
        </w:tc>
        <w:tc>
          <w:tcPr>
            <w:tcW w:w="271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名称</w:t>
            </w:r>
          </w:p>
        </w:tc>
        <w:tc>
          <w:tcPr>
            <w:tcW w:w="205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公允价值（元）</w:t>
            </w:r>
          </w:p>
        </w:tc>
        <w:tc>
          <w:tcPr>
            <w:tcW w:w="180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占产品资产净值比例（％）</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ZJQTT202410090002</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陆家嘴信托-陆享19号集合资金信托计划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411,869,545.02</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18.93</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ZJQTT202311080001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国投泰康信托福佳1号集合资金信托计划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216,303,883.06</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9.94</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ZJQTT202302210002</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泰康资产纯泰33号资产管理产品</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210,920,042.74</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9.70</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ZJQTT202502250024</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紫金信托合盛3号集合资金信托计划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191,546,078.44</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8.81</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DQCKX202504100003</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徽商银行定期存款20250410C</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110,000,000.00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5.06</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ZJQTT202410140001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建信资管浦江安盈货币3号资产管理产品</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101,486,954.46</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4.67</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DQCKX202508120002</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上海银行定期存款20250812B</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100,000,000.00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4.60</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DQCKX202508130023</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中原银行定期存款20250813</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100,000,000.00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4.60</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DQCKX202507100022</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上海银行定期存款20250710</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100,000,000.00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4.60</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XJCKX202504280001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华夏银行南京分行活期存款</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82,012,388.28</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3.77</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4.3报告期末非标准化债权类资产明细</w:t>
      </w:r>
    </w:p>
    <w:tbl>
      <w:tblPr>
        <w:tblStyle w:val="5"/>
        <w:tblpPr w:leftFromText="180" w:rightFromText="180" w:vertAnchor="text" w:tblpXSpec="center" w:tblpY="1"/>
        <w:tblOverlap w:val="never"/>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77"/>
        <w:gridCol w:w="1704"/>
        <w:gridCol w:w="1275"/>
        <w:gridCol w:w="1540"/>
        <w:gridCol w:w="1383"/>
        <w:gridCol w:w="1271"/>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7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704"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融资客户</w:t>
            </w:r>
          </w:p>
        </w:tc>
        <w:tc>
          <w:tcPr>
            <w:tcW w:w="1275"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项目名称</w:t>
            </w:r>
          </w:p>
        </w:tc>
        <w:tc>
          <w:tcPr>
            <w:tcW w:w="154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剩余融资期限（</w:t>
            </w:r>
            <w:r>
              <w:rPr>
                <w:rFonts w:ascii="方正仿宋简体" w:eastAsia="方正仿宋简体"/>
                <w:sz w:val="24"/>
                <w:szCs w:val="24"/>
              </w:rPr>
              <w:t>天）</w:t>
            </w:r>
          </w:p>
        </w:tc>
        <w:tc>
          <w:tcPr>
            <w:tcW w:w="13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到期收益分配</w:t>
            </w:r>
          </w:p>
        </w:tc>
        <w:tc>
          <w:tcPr>
            <w:tcW w:w="127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交易结构</w:t>
            </w:r>
          </w:p>
        </w:tc>
        <w:tc>
          <w:tcPr>
            <w:tcW w:w="87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风险状况</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§5 投资账户信息</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46"/>
        <w:gridCol w:w="1417"/>
        <w:gridCol w:w="2668"/>
        <w:gridCol w:w="1983"/>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4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41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账户类型</w:t>
            </w:r>
          </w:p>
        </w:tc>
        <w:tc>
          <w:tcPr>
            <w:tcW w:w="266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账号</w:t>
            </w:r>
          </w:p>
        </w:tc>
        <w:tc>
          <w:tcPr>
            <w:tcW w:w="19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账户名称</w:t>
            </w:r>
          </w:p>
        </w:tc>
        <w:tc>
          <w:tcPr>
            <w:tcW w:w="198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开户单位</w:t>
            </w:r>
          </w:p>
        </w:tc>
      </w:tr>
      <w:tr>
        <w:trPr>
          <w:trHeight w:val="584" w:hRule="atLeast"/>
          <w:jc w:val="center"/>
        </w:trPr>
        <w:tc>
          <w:tcPr>
            <w:tcW w:w="84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0101030000000861</w:t>
            </w:r>
          </w:p>
        </w:tc>
        <w:tc>
          <w:tcPr>
            <w:tcW w:w="19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南京银行南京分行南银理财鼎瑞悦稳最低持有7天2号</w:t>
            </w:r>
          </w:p>
        </w:tc>
        <w:tc>
          <w:tcPr>
            <w:tcW w:w="198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pPr>
        <w:spacing w:afterLines="0" w:line="360" w:lineRule="auto"/>
        <w:rPr>
          <w:rFonts w:ascii="方正仿宋_GBK" w:eastAsia="方正仿宋_GBK"/>
          <w:sz w:val="24"/>
          <w:szCs w:val="24"/>
        </w:rPr>
      </w:pPr>
    </w:p>
    <w:p>
      <w:pPr>
        <w:spacing w:before="240" w:after="72" w:line="360" w:lineRule="auto"/>
        <w:jc w:val="center"/>
        <w:rPr>
          <w:rFonts w:ascii="方正仿宋_GBK" w:eastAsia="方正仿宋_GBK"/>
          <w:b/>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§6 关联交易情况</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报告期内，</w:t>
      </w:r>
      <w:r>
        <w:rPr>
          <w:rFonts w:hint="eastAsia" w:ascii="方正仿宋简体" w:hAnsi="宋体" w:eastAsia="方正仿宋简体" w:cs="宋体"/>
          <w:color w:val="000000"/>
          <w:kern w:val="0"/>
          <w:sz w:val="24"/>
          <w:szCs w:val="24"/>
        </w:rPr>
        <w:t>产品投资于关联方发行</w:t>
      </w:r>
      <w:r>
        <w:rPr>
          <w:rFonts w:hint="eastAsia" w:ascii="方正仿宋简体" w:hAnsi="宋体" w:eastAsia="方正仿宋简体" w:cs="宋体"/>
          <w:color w:val="000000"/>
          <w:kern w:val="0"/>
          <w:sz w:val="24"/>
          <w:szCs w:val="24"/>
          <w:lang w:eastAsia="zh-CN"/>
        </w:rPr>
        <w:t>的</w:t>
      </w:r>
      <w:r>
        <w:rPr>
          <w:rFonts w:hint="eastAsia" w:ascii="方正仿宋简体" w:hAnsi="宋体" w:eastAsia="方正仿宋简体" w:cs="宋体"/>
          <w:color w:val="000000"/>
          <w:kern w:val="0"/>
          <w:sz w:val="24"/>
          <w:szCs w:val="24"/>
        </w:rPr>
        <w:t>证券</w:t>
      </w:r>
      <w:r>
        <w:rPr>
          <w:rFonts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lang w:val="en-US" w:eastAsia="zh-CN"/>
        </w:rPr>
        <w:t/>
      </w:r>
      <w:r>
        <w:rPr>
          <w:rFonts w:ascii="方正仿宋简体" w:hAnsi="宋体" w:eastAsia="方正仿宋简体" w:cs="宋体"/>
          <w:color w:val="000000"/>
          <w:kern w:val="0"/>
          <w:sz w:val="24"/>
          <w:szCs w:val="24"/>
        </w:rPr>
        <w:t>0.00</w:t>
      </w:r>
      <w:r>
        <w:rPr>
          <w:rFonts w:hint="eastAsia" w:ascii="方正仿宋简体" w:hAnsi="宋体" w:eastAsia="方正仿宋简体" w:cs="宋体"/>
          <w:color w:val="000000"/>
          <w:kern w:val="0"/>
          <w:sz w:val="24"/>
          <w:szCs w:val="24"/>
        </w:rPr>
        <w:t>元。</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产品投资于关联方作为融资人的非标准化债权类资产业务交易金额0.00元。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产品投资于关联方承销的证券交易金额0.00元。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产品与关联方作为交易对手开展的投融资业务交易金额0.00元。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产品投资关联方作为管理人的资产管理产品交易金额680,000,000.00元。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产品支付关联方托管费124,518.38元，支付关联方代销费463,765.11元。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产品发生其他关联交易金额0.00元。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报告期内，产品未发生重大关联交易。</w:t>
      </w:r>
    </w:p>
    <w:p>
      <w:pPr>
        <w:spacing w:before="240" w:after="72" w:line="360" w:lineRule="auto"/>
        <w:rPr>
          <w:rFonts w:ascii="方正仿宋_GBK" w:hAnsi="宋体" w:eastAsia="方正仿宋_GBK" w:cs="宋体"/>
          <w:kern w:val="0"/>
          <w:sz w:val="24"/>
          <w:szCs w:val="24"/>
        </w:rPr>
      </w:pPr>
    </w:p>
    <w:p>
      <w:pPr>
        <w:spacing w:before="240" w:after="72" w:line="360" w:lineRule="auto"/>
        <w:rPr>
          <w:rFonts w:ascii="方正仿宋_GBK" w:hAnsi="宋体" w:eastAsia="方正仿宋_GBK" w:cs="宋体"/>
          <w:kern w:val="0"/>
          <w:sz w:val="24"/>
          <w:szCs w:val="24"/>
        </w:rPr>
      </w:pPr>
    </w:p>
    <w:p>
      <w:pPr>
        <w:spacing w:before="240" w:after="72" w:line="360" w:lineRule="auto"/>
        <w:jc w:val="right"/>
        <w:rPr>
          <w:rFonts w:ascii="方正仿宋_GBK" w:eastAsia="方正仿宋_GBK"/>
          <w:b/>
          <w:sz w:val="24"/>
          <w:szCs w:val="24"/>
        </w:rPr>
      </w:pPr>
    </w:p>
    <w:p>
      <w:pPr>
        <w:spacing w:before="240" w:after="72" w:line="360" w:lineRule="auto"/>
        <w:jc w:val="right"/>
        <w:rPr>
          <w:rFonts w:ascii="方正仿宋简体" w:eastAsia="方正仿宋简体"/>
          <w:b/>
          <w:sz w:val="24"/>
          <w:szCs w:val="24"/>
        </w:rPr>
      </w:pPr>
      <w:r>
        <w:rPr>
          <w:rFonts w:hint="eastAsia" w:ascii="方正仿宋简体" w:eastAsia="方正仿宋简体"/>
          <w:b/>
          <w:sz w:val="24"/>
          <w:szCs w:val="24"/>
        </w:rPr>
        <w:t>南银理财有限责任公司</w:t>
      </w:r>
    </w:p>
    <w:p>
      <w:pPr>
        <w:spacing w:before="240" w:after="72" w:line="360" w:lineRule="auto"/>
        <w:jc w:val="right"/>
        <w:rPr>
          <w:rFonts w:ascii="方正仿宋_GBK" w:eastAsia="方正仿宋_GBK"/>
          <w:sz w:val="24"/>
          <w:szCs w:val="24"/>
        </w:rPr>
      </w:pPr>
      <w:r>
        <w:rPr>
          <w:rFonts w:hint="eastAsia" w:ascii="方正仿宋简体" w:eastAsia="方正仿宋简体"/>
          <w:b/>
          <w:sz w:val="24"/>
          <w:szCs w:val="24"/>
        </w:rPr>
        <w:t>2025年12月31日</w:t>
      </w:r>
      <w:bookmarkStart w:id="0" w:name="_GoBack"/>
      <w:bookmarkEnd w:id="0"/>
    </w:p>
    <w:sectPr>
      <w:headerReference r:id="rId6" w:type="first"/>
      <w:footerReference r:id="rId9" w:type="first"/>
      <w:headerReference r:id="rId4" w:type="default"/>
      <w:footerReference r:id="rId7" w:type="default"/>
      <w:headerReference r:id="rId5" w:type="even"/>
      <w:footerReference r:id="rId8" w:type="even"/>
      <w:pgSz w:w="11926" w:h="16867"/>
      <w:pgMar w:top="1418" w:right="1418" w:bottom="853"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spacing w:after="72"/>
      <w:rPr>
        <w:rStyle w:val="7"/>
      </w:rPr>
    </w:pPr>
    <w:r>
      <w:fldChar w:fldCharType="begin"/>
    </w:r>
    <w:r>
      <w:rPr>
        <w:rStyle w:val="7"/>
      </w:rPr>
      <w:instrText xml:space="preserve">PAGE  </w:instrText>
    </w:r>
    <w:r>
      <w:fldChar w:fldCharType="end"/>
    </w:r>
  </w:p>
  <w:p>
    <w:pPr>
      <w:pStyle w:val="2"/>
      <w:spacing w:after="7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8311F"/>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EA9"/>
    <w:rsid w:val="00E76CD6"/>
    <w:rsid w:val="00E80B2A"/>
    <w:rsid w:val="00EA36AD"/>
    <w:rsid w:val="00EB538F"/>
    <w:rsid w:val="00EB5E48"/>
    <w:rsid w:val="00EB6923"/>
    <w:rsid w:val="00EF160C"/>
    <w:rsid w:val="00EF651B"/>
    <w:rsid w:val="00F02F01"/>
    <w:rsid w:val="00F07A35"/>
    <w:rsid w:val="00F11AF8"/>
    <w:rsid w:val="00F12482"/>
    <w:rsid w:val="00F35159"/>
    <w:rsid w:val="00F4518F"/>
    <w:rsid w:val="00F62D3E"/>
    <w:rsid w:val="00F81FB3"/>
    <w:rsid w:val="00F91E69"/>
    <w:rsid w:val="00F95842"/>
    <w:rsid w:val="00FA4B34"/>
    <w:rsid w:val="00FD3F28"/>
    <w:rsid w:val="00FD4626"/>
    <w:rsid w:val="00FE2FF5"/>
    <w:rsid w:val="00FE56AA"/>
    <w:rsid w:val="138B4249"/>
    <w:rsid w:val="1F1A3BC0"/>
    <w:rsid w:val="2651710C"/>
    <w:rsid w:val="2C5F4270"/>
    <w:rsid w:val="341F714B"/>
    <w:rsid w:val="49AA3EC1"/>
    <w:rsid w:val="57DD4EC8"/>
    <w:rsid w:val="611546EB"/>
    <w:rsid w:val="6C686480"/>
    <w:rsid w:val="6DBF574D"/>
    <w:rsid w:val="7DD4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3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eastAsiaTheme="minorEastAsia"/>
      <w:sz w:val="18"/>
      <w:szCs w:val="18"/>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7">
    <w:name w:val="page number"/>
    <w:basedOn w:val="6"/>
    <w:unhideWhenUsed/>
    <w:qFormat/>
    <w:uiPriority w:val="99"/>
  </w:style>
  <w:style w:type="character" w:customStyle="1" w:styleId="8">
    <w:name w:val="页脚 Char"/>
    <w:link w:val="2"/>
    <w:qFormat/>
    <w:locked/>
    <w:uiPriority w:val="99"/>
    <w:rPr>
      <w:rFonts w:ascii="Times New Roman" w:hAnsi="Times New Roman" w:cs="Times New Roman"/>
      <w:sz w:val="18"/>
      <w:szCs w:val="18"/>
    </w:rPr>
  </w:style>
  <w:style w:type="character" w:customStyle="1" w:styleId="9">
    <w:name w:val="页脚 Char1"/>
    <w:basedOn w:val="6"/>
    <w:semiHidden/>
    <w:qFormat/>
    <w:uiPriority w:val="99"/>
    <w:rPr>
      <w:rFonts w:ascii="Times New Roman" w:hAnsi="Times New Roman" w:eastAsia="宋体" w:cs="Times New Roman"/>
      <w:sz w:val="18"/>
      <w:szCs w:val="18"/>
    </w:rPr>
  </w:style>
  <w:style w:type="paragraph" w:customStyle="1" w:styleId="10">
    <w:name w:val="biaoge_left"/>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1">
    <w:name w:val="zhangjie_p2"/>
    <w:basedOn w:val="1"/>
    <w:qFormat/>
    <w:uiPriority w:val="0"/>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12">
    <w:name w:val="biaoge_center"/>
    <w:basedOn w:val="1"/>
    <w:qFormat/>
    <w:uiPriority w:val="0"/>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13">
    <w:name w:val="dazhangjie"/>
    <w:basedOn w:val="1"/>
    <w:qFormat/>
    <w:uiPriority w:val="0"/>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5">
    <w:name w:val="biaoge_right"/>
    <w:basedOn w:val="1"/>
    <w:qFormat/>
    <w:uiPriority w:val="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16">
    <w:name w:val="neirong"/>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7">
    <w:name w:val="zhangjie_p"/>
    <w:basedOn w:val="1"/>
    <w:qFormat/>
    <w:uiPriority w:val="0"/>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页眉 Char"/>
    <w:basedOn w:val="6"/>
    <w:link w:val="3"/>
    <w:qFormat/>
    <w:uiPriority w:val="99"/>
    <w:rPr>
      <w:rFonts w:ascii="Times New Roman" w:hAnsi="Times New Roman" w:eastAsia="宋体" w:cs="Times New Roman"/>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11" Target="fontTable.xml" Type="http://schemas.openxmlformats.org/officeDocument/2006/relationships/fontTable"/><Relationship Id="rId2" Target="settings.xml" Type="http://schemas.openxmlformats.org/officeDocument/2006/relationships/settings"/><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header3.xml" Type="http://schemas.openxmlformats.org/officeDocument/2006/relationships/header"/><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cc</Company>
  <Pages>6</Pages>
  <Words>315</Words>
  <Characters>1797</Characters>
  <Lines>14</Lines>
  <Paragraphs>4</Paragraphs>
  <TotalTime>0</TotalTime>
  <ScaleCrop>false</ScaleCrop>
  <LinksUpToDate>false</LinksUpToDate>
  <CharactersWithSpaces>2108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h04vdi1428</cp:lastModifiedBy>
  <dcterms:modified xsi:type="dcterms:W3CDTF">2025-09-04T00:54:56Z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65B57D7BDF384424A76A3B84B5FDE380</vt:lpwstr>
  </property>
</Properties>
</file>