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
    <w:p/>
    <w:p/>
    <w:p/>
    <w:p/>
    <w:p/>
    <w:p>
      <w:pPr>
        <w:rPr>
          <w:b/>
          <w:bCs/>
        </w:rPr>
      </w:pPr>
    </w:p>
    <w:p>
      <w:pPr>
        <w:jc w:val="center"/>
        <w:rPr>
          <w:rFonts w:hint="eastAsia" w:ascii="宋体" w:hAnsi="宋体" w:cs="宋体"/>
          <w:b/>
          <w:bCs/>
          <w:sz w:val="44"/>
          <w:szCs w:val="44"/>
        </w:rPr>
      </w:pPr>
      <w:r>
        <w:rPr>
          <w:rFonts w:hint="eastAsia" w:ascii="宋体" w:hAnsi="宋体" w:cs="宋体"/>
          <w:b/>
          <w:bCs/>
          <w:sz w:val="44"/>
          <w:szCs w:val="44"/>
        </w:rPr>
        <w:t>杭银理财幸福99月添益2001期理财合同</w:t>
      </w: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32"/>
          <w:szCs w:val="32"/>
        </w:rPr>
      </w:pPr>
      <w:r>
        <w:rPr>
          <w:rFonts w:hint="eastAsia" w:ascii="宋体" w:hAnsi="宋体" w:cs="宋体"/>
          <w:sz w:val="32"/>
          <w:szCs w:val="32"/>
        </w:rPr>
        <w:t>理财计划管理人：杭银理财有限责任公司</w:t>
      </w:r>
    </w:p>
    <w:p>
      <w:pPr>
        <w:ind w:firstLine="1280" w:firstLineChars="400"/>
        <w:jc w:val="left"/>
        <w:rPr>
          <w:rFonts w:hint="eastAsia" w:ascii="宋体" w:hAnsi="宋体" w:cs="宋体"/>
          <w:sz w:val="32"/>
          <w:szCs w:val="32"/>
        </w:rPr>
      </w:pPr>
      <w:r>
        <w:rPr>
          <w:rFonts w:hint="eastAsia" w:ascii="宋体" w:hAnsi="宋体" w:cs="宋体"/>
          <w:sz w:val="32"/>
          <w:szCs w:val="32"/>
        </w:rPr>
        <w:t>理财计划托管人：杭州银行股份有限公司</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pStyle w:val="2"/>
        <w:rPr>
          <w:rFonts w:hint="eastAsia" w:ascii="宋体" w:hAnsi="宋体" w:cs="宋体"/>
        </w:rPr>
      </w:pPr>
      <w:r>
        <w:rPr>
          <w:rFonts w:hint="eastAsia" w:ascii="宋体" w:hAnsi="宋体" w:cs="宋体"/>
        </w:rPr>
        <w:t>杭银理财幸福99</w:t>
      </w:r>
      <w:r>
        <w:rPr>
          <w:rFonts w:hint="eastAsia" w:ascii="宋体" w:hAnsi="宋体" w:cs="宋体"/>
          <w:bCs/>
          <w:szCs w:val="44"/>
        </w:rPr>
        <w:t>月添益2001期理财</w:t>
      </w:r>
      <w:r>
        <w:rPr>
          <w:rFonts w:hint="eastAsia" w:ascii="宋体" w:hAnsi="宋体" w:cs="宋体"/>
        </w:rPr>
        <w:t>合同文件</w:t>
      </w:r>
    </w:p>
    <w:p>
      <w:pP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5" w:type="dxa"/>
            <w:noWrap w:val="0"/>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序号</w:t>
            </w:r>
          </w:p>
        </w:tc>
        <w:tc>
          <w:tcPr>
            <w:tcW w:w="5160" w:type="dxa"/>
            <w:noWrap w:val="0"/>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理财计划合同文件中的文件名称</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1</w:t>
            </w:r>
          </w:p>
        </w:tc>
        <w:tc>
          <w:tcPr>
            <w:tcW w:w="5160" w:type="dxa"/>
            <w:noWrap w:val="0"/>
            <w:vAlign w:val="center"/>
          </w:tcPr>
          <w:p>
            <w:pPr>
              <w:spacing w:line="360" w:lineRule="auto"/>
              <w:jc w:val="left"/>
              <w:rPr>
                <w:rFonts w:ascii="宋体" w:hAnsi="宋体" w:cs="宋体"/>
                <w:sz w:val="21"/>
                <w:szCs w:val="21"/>
              </w:rPr>
            </w:pPr>
            <w:r>
              <w:rPr>
                <w:rFonts w:hint="eastAsia" w:ascii="宋体" w:hAnsi="宋体" w:cs="宋体"/>
                <w:sz w:val="21"/>
                <w:szCs w:val="21"/>
              </w:rPr>
              <w:t>杭银理财幸福99月添益2001期理财风险揭示书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2</w:t>
            </w:r>
          </w:p>
        </w:tc>
        <w:tc>
          <w:tcPr>
            <w:tcW w:w="5160" w:type="dxa"/>
            <w:noWrap w:val="0"/>
            <w:vAlign w:val="center"/>
          </w:tcPr>
          <w:p>
            <w:pPr>
              <w:spacing w:line="360" w:lineRule="auto"/>
              <w:jc w:val="left"/>
              <w:rPr>
                <w:rFonts w:ascii="宋体" w:hAnsi="宋体" w:cs="宋体"/>
                <w:sz w:val="21"/>
                <w:szCs w:val="21"/>
              </w:rPr>
            </w:pPr>
            <w:r>
              <w:rPr>
                <w:rFonts w:hint="eastAsia" w:ascii="宋体" w:hAnsi="宋体" w:cs="宋体"/>
                <w:sz w:val="21"/>
                <w:szCs w:val="21"/>
              </w:rPr>
              <w:t>杭银理财幸福99月添益2001期理财产品说明书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3</w:t>
            </w:r>
          </w:p>
        </w:tc>
        <w:tc>
          <w:tcPr>
            <w:tcW w:w="5160" w:type="dxa"/>
            <w:noWrap w:val="0"/>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杭银理财投资者权益须知</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4</w:t>
            </w:r>
          </w:p>
        </w:tc>
        <w:tc>
          <w:tcPr>
            <w:tcW w:w="5160" w:type="dxa"/>
            <w:noWrap w:val="0"/>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杭银理财理财计划投资协议书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5</w:t>
            </w:r>
          </w:p>
        </w:tc>
        <w:tc>
          <w:tcPr>
            <w:tcW w:w="5160" w:type="dxa"/>
            <w:noWrap w:val="0"/>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杭银理财理财计划销售协议书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理财计划销售协议书</w:t>
            </w:r>
          </w:p>
        </w:tc>
      </w:tr>
    </w:tbl>
    <w:p>
      <w:pPr>
        <w:jc w:val="center"/>
        <w:rPr>
          <w:rFonts w:hint="eastAsia" w:ascii="宋体" w:hAnsi="宋体" w:cs="宋体"/>
          <w:sz w:val="44"/>
          <w:szCs w:val="44"/>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rPr>
          <w:rFonts w:hint="eastAsia" w:ascii="宋体" w:hAnsi="宋体" w:cs="宋体"/>
          <w:sz w:val="32"/>
          <w:szCs w:val="32"/>
        </w:rPr>
      </w:pPr>
    </w:p>
    <w:p>
      <w:pPr>
        <w:rPr>
          <w:rFonts w:hint="eastAsia" w:ascii="宋体" w:hAnsi="宋体" w:cs="宋体"/>
          <w:sz w:val="32"/>
          <w:szCs w:val="32"/>
        </w:rPr>
      </w:pPr>
    </w:p>
    <w:p>
      <w:pPr>
        <w:pStyle w:val="2"/>
        <w:rPr>
          <w:rFonts w:hint="eastAsia"/>
        </w:rPr>
      </w:pPr>
      <w:r>
        <w:rPr>
          <w:rFonts w:hint="eastAsia" w:ascii="宋体" w:hAnsi="宋体" w:cs="宋体"/>
        </w:rPr>
        <w:t>杭银理财幸福99月添益2001期理财风险揭示书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left"/>
        <w:rPr>
          <w:rFonts w:hint="eastAsia" w:ascii="宋体" w:hAnsi="宋体" w:cs="宋体"/>
        </w:rPr>
      </w:pPr>
      <w:r>
        <w:rPr>
          <w:rFonts w:hint="eastAsia" w:ascii="宋体" w:hAnsi="宋体" w:cs="宋体"/>
        </w:rPr>
        <w:t>尊敬的理财投资者：</w:t>
      </w:r>
    </w:p>
    <w:p>
      <w:pPr>
        <w:spacing w:line="360" w:lineRule="auto"/>
        <w:jc w:val="center"/>
        <w:rPr>
          <w:rFonts w:hint="eastAsia" w:ascii="宋体" w:hAnsi="宋体" w:cs="宋体"/>
          <w:b/>
          <w:bCs/>
          <w:u w:val="single"/>
        </w:rPr>
      </w:pPr>
      <w:r>
        <w:rPr>
          <w:rFonts w:hint="eastAsia" w:ascii="宋体" w:hAnsi="宋体" w:cs="宋体"/>
          <w:b/>
          <w:bCs/>
          <w:u w:val="single"/>
        </w:rPr>
        <w:t>理财非存款、产品有风险、投资须谨慎</w:t>
      </w:r>
    </w:p>
    <w:p>
      <w:pPr>
        <w:spacing w:line="360" w:lineRule="auto"/>
        <w:ind w:firstLine="480" w:firstLineChars="200"/>
        <w:jc w:val="left"/>
        <w:rPr>
          <w:rFonts w:hint="eastAsia" w:ascii="宋体" w:hAnsi="宋体" w:cs="宋体"/>
          <w:b/>
        </w:rPr>
      </w:pPr>
      <w:r>
        <w:rPr>
          <w:rFonts w:hint="eastAsia" w:ascii="宋体" w:hAnsi="宋体" w:cs="宋体"/>
          <w:bCs/>
        </w:rPr>
        <w:t>根据</w:t>
      </w:r>
      <w:r>
        <w:rPr>
          <w:rFonts w:hint="eastAsia" w:ascii="宋体" w:hAnsi="宋体" w:cs="宋体"/>
          <w:bCs/>
          <w:lang w:eastAsia="zh-CN"/>
        </w:rPr>
        <w:t>国家金融监督管理总局</w:t>
      </w:r>
      <w:r>
        <w:rPr>
          <w:rFonts w:hint="eastAsia" w:ascii="宋体" w:hAnsi="宋体" w:cs="宋体"/>
          <w:bCs/>
        </w:rPr>
        <w:t>相关监督规定，杭银理财有限责任公司作为本理财计划的管理人郑重提示：在购买理财计划前，请仔细阅读本理财计划完整合同（包括但不限于理财计划风险揭示书、理财计划说明书、投资者权益须知、理财计划投资协议书和理财计划销售协议书，</w:t>
      </w:r>
      <w:r>
        <w:rPr>
          <w:rFonts w:hint="eastAsia" w:ascii="宋体" w:hAnsi="宋体" w:cs="宋体"/>
          <w:b/>
        </w:rPr>
        <w:t>若通过电子渠道购买的，成功交易后视同为投资者与管理人已完成理财计划交易合同的签订</w:t>
      </w:r>
      <w:r>
        <w:rPr>
          <w:rFonts w:hint="eastAsia" w:ascii="宋体" w:hAnsi="宋体" w:cs="宋体"/>
          <w:bCs/>
        </w:rPr>
        <w:t>），了解理财计划相关具体情况，并确保已评估自身的风险承受能力和理财计划相关风险后，谨慎投资。</w:t>
      </w:r>
      <w:r>
        <w:rPr>
          <w:rFonts w:hint="eastAsia" w:ascii="宋体" w:hAnsi="宋体" w:cs="宋体"/>
          <w:b/>
        </w:rPr>
        <w:t>如影响您风险承受能力的因素发生变化，请及时更新风险承受能力评估。</w:t>
      </w:r>
    </w:p>
    <w:p>
      <w:pPr>
        <w:spacing w:line="360" w:lineRule="auto"/>
        <w:ind w:firstLine="480" w:firstLineChars="200"/>
        <w:jc w:val="left"/>
        <w:rPr>
          <w:rFonts w:hint="eastAsia" w:ascii="宋体" w:hAnsi="宋体" w:cs="宋体"/>
          <w:bCs/>
        </w:rPr>
      </w:pPr>
      <w:r>
        <w:rPr>
          <w:rFonts w:hint="eastAsia" w:ascii="宋体" w:hAnsi="宋体" w:cs="宋体"/>
          <w:bCs/>
        </w:rPr>
        <w:t>请您根据自身理财目标、投资经验、财务状况、风险承受能力以及其他相关情况慎重购买理财计划。本风险揭示书列示的可能涉及的风险包括但不限于：</w:t>
      </w:r>
    </w:p>
    <w:p>
      <w:pPr>
        <w:pStyle w:val="3"/>
        <w:numPr>
          <w:ilvl w:val="0"/>
          <w:numId w:val="1"/>
        </w:numPr>
        <w:spacing w:line="360" w:lineRule="auto"/>
        <w:ind w:firstLine="482" w:firstLineChars="200"/>
        <w:rPr>
          <w:rFonts w:hint="eastAsia"/>
        </w:rPr>
      </w:pPr>
      <w:r>
        <w:rPr>
          <w:rFonts w:hint="eastAsia"/>
        </w:rPr>
        <w:t>理财计划共性风险</w:t>
      </w:r>
    </w:p>
    <w:p>
      <w:pPr>
        <w:pStyle w:val="4"/>
        <w:numPr>
          <w:ilvl w:val="0"/>
          <w:numId w:val="2"/>
        </w:numPr>
        <w:ind w:firstLine="482" w:firstLineChars="200"/>
      </w:pPr>
      <w:r>
        <w:rPr>
          <w:rStyle w:val="22"/>
          <w:rFonts w:hint="eastAsia"/>
          <w:b/>
        </w:rPr>
        <w:t>信用风险：</w:t>
      </w:r>
      <w:r>
        <w:rPr>
          <w:rFonts w:hint="eastAsia"/>
        </w:rPr>
        <w:t>理财计划所投资产的相关义务人信用状况恶化，出现信用违约情形，则理财计划本金或收益蒙受部分或全部损失的风险。</w:t>
      </w:r>
    </w:p>
    <w:p>
      <w:pPr>
        <w:pStyle w:val="4"/>
        <w:numPr>
          <w:ilvl w:val="0"/>
          <w:numId w:val="2"/>
        </w:numPr>
        <w:ind w:firstLine="482" w:firstLineChars="200"/>
        <w:rPr>
          <w:rFonts w:hint="eastAsia"/>
        </w:rPr>
      </w:pPr>
      <w:r>
        <w:rPr>
          <w:rFonts w:hint="eastAsia"/>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ind w:firstLine="482" w:firstLineChars="200"/>
        <w:jc w:val="left"/>
        <w:rPr>
          <w:rFonts w:ascii="宋体" w:hAnsi="宋体" w:cs="宋体"/>
          <w:b/>
        </w:rPr>
      </w:pPr>
      <w:r>
        <w:rPr>
          <w:rFonts w:hint="eastAsia" w:ascii="宋体" w:hAnsi="宋体" w:cs="宋体"/>
          <w:b/>
        </w:rPr>
        <w:t>政策风险：因国家宏观政策（如财政政策、货币政策、监管政策等）发生变化，导致市场价格波动而产生风险，从而对理财计划收益产生影响。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经济周期风险：随经济运行周期变化，证券市场的收益水平也呈周期性变化，从而对理财计划收益产生影响。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购买力风险：如发生通货膨胀，则所投资产的收益可能会被通货膨胀抵消，从而对理财计划收益的实际购买力产生影响。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利率风险：金融市场利率波动会导致证券市场价格和收益率波动，从而对理财计划收益产生影响。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汇率风险：理财计划如投资涉及非本国货币，则外汇市场可能会出现汇率波动，从而对理财计划收益产生影响。</w:t>
      </w:r>
    </w:p>
    <w:p>
      <w:pPr>
        <w:pStyle w:val="4"/>
        <w:numPr>
          <w:ilvl w:val="0"/>
          <w:numId w:val="4"/>
        </w:numPr>
        <w:ind w:firstLine="482" w:firstLineChars="200"/>
      </w:pPr>
      <w:r>
        <w:rPr>
          <w:rFonts w:hint="eastAsia"/>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pStyle w:val="4"/>
        <w:numPr>
          <w:ilvl w:val="0"/>
          <w:numId w:val="4"/>
        </w:numPr>
        <w:ind w:firstLine="482" w:firstLineChars="200"/>
      </w:pPr>
      <w:r>
        <w:rPr>
          <w:rFonts w:hint="eastAsia"/>
        </w:rPr>
        <w:t>政策风险：理财计划根据当前的相关法规和政策设计，如国家宏观政策以及相关市场法规发生变化，可能会影响理财计划的发行、投资、兑付等正常工作流程的进行，导致理财计划本金或收益蒙受部分或全部损失的风险。</w:t>
      </w:r>
    </w:p>
    <w:p>
      <w:pPr>
        <w:pStyle w:val="4"/>
        <w:numPr>
          <w:ilvl w:val="0"/>
          <w:numId w:val="4"/>
        </w:numPr>
        <w:ind w:firstLine="482" w:firstLineChars="200"/>
      </w:pPr>
      <w:r>
        <w:rPr>
          <w:rFonts w:hint="eastAsia"/>
        </w:rPr>
        <w:t>操作风险：理财计划由于内部作业、人员管理、系统操作、交易对手交易处理不当或失误等，导致理财计划本金或收益蒙受部分或全部损失的风险。</w:t>
      </w:r>
    </w:p>
    <w:p>
      <w:pPr>
        <w:pStyle w:val="4"/>
        <w:numPr>
          <w:ilvl w:val="0"/>
          <w:numId w:val="4"/>
        </w:numPr>
        <w:ind w:firstLine="482" w:firstLineChars="200"/>
      </w:pPr>
      <w:r>
        <w:rPr>
          <w:rFonts w:hint="eastAsia"/>
        </w:rPr>
        <w:t>管理风险：理财计划在投资管理运作过程中，投资管理各方受经验、技能、执行力等综合因素的限制，可能会对理财计划的投资与运作产生一定影响，导致理财计划本金或收益蒙受部分或全部损失的风险。</w:t>
      </w:r>
    </w:p>
    <w:p>
      <w:pPr>
        <w:pStyle w:val="4"/>
        <w:numPr>
          <w:ilvl w:val="0"/>
          <w:numId w:val="4"/>
        </w:numPr>
        <w:ind w:firstLine="482" w:firstLineChars="200"/>
      </w:pPr>
      <w:r>
        <w:rPr>
          <w:rFonts w:hint="eastAsia"/>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pStyle w:val="4"/>
        <w:numPr>
          <w:ilvl w:val="0"/>
          <w:numId w:val="4"/>
        </w:numPr>
        <w:ind w:firstLine="482" w:firstLineChars="200"/>
      </w:pPr>
      <w:r>
        <w:rPr>
          <w:rFonts w:hint="eastAsia"/>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pStyle w:val="4"/>
        <w:numPr>
          <w:ilvl w:val="0"/>
          <w:numId w:val="4"/>
        </w:numPr>
        <w:ind w:firstLine="482" w:firstLineChars="200"/>
      </w:pPr>
      <w:r>
        <w:rPr>
          <w:rFonts w:hint="eastAsia"/>
        </w:rPr>
        <w:t>提前</w:t>
      </w:r>
      <w:r>
        <w:rPr>
          <w:rFonts w:hint="eastAsia" w:ascii="宋体" w:hAnsi="宋体" w:cs="宋体"/>
        </w:rPr>
        <w:t>或延期终止风险：为保护投资者利益，在理财计划存续期间，管理人可根据理财计划说明书约定的情形提前或延期终止本理财计划。如理财计划被提前或延期终止，则投资者将面临提前终止再投资或延期兑付的风险。</w:t>
      </w:r>
    </w:p>
    <w:p>
      <w:pPr>
        <w:numPr>
          <w:ilvl w:val="0"/>
          <w:numId w:val="4"/>
        </w:numPr>
        <w:spacing w:line="360" w:lineRule="auto"/>
        <w:ind w:firstLine="482" w:firstLineChars="200"/>
        <w:jc w:val="left"/>
        <w:outlineLvl w:val="2"/>
        <w:rPr>
          <w:rFonts w:hint="eastAsia"/>
          <w:b/>
        </w:rPr>
      </w:pPr>
      <w:r>
        <w:rPr>
          <w:rStyle w:val="23"/>
          <w:rFonts w:hint="eastAsia"/>
        </w:rPr>
        <w:t>信息传递风险：</w:t>
      </w:r>
      <w:r>
        <w:rPr>
          <w:rFonts w:hint="eastAsia"/>
          <w:b/>
          <w:bCs/>
        </w:rPr>
        <w:t>由于投资者未能及时主动了解理财计划信息，或由于通信故障、系统故障以及其他不可抗力等因素的影响，使得投资者无法及时了解理财计划信息，而导致投资者无法及时做出合理决策，导致理财计划本金或收益蒙受部分或全部损失的风险。</w:t>
      </w:r>
    </w:p>
    <w:p>
      <w:pPr>
        <w:pStyle w:val="4"/>
        <w:numPr>
          <w:ilvl w:val="0"/>
          <w:numId w:val="4"/>
        </w:numPr>
      </w:pPr>
      <w:r>
        <w:rPr>
          <w:rFonts w:hint="eastAsia"/>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理财计划本金或收益蒙受部分或全部损失的风险。</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建仓期风险：如理财计划设置建仓期，则在建仓期内理财计划的投资比例可能无法满足约定的投资比例限制，从而影响对理财计划收益产生影响。</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代销风险：本理财计划通过代销渠道销售，投资者认/申购理财计划的资金由销售机构从投资者资金账户扣收；理财计划到期/赎回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rPr>
      </w:pPr>
      <w:r>
        <w:rPr>
          <w:rFonts w:ascii="宋体" w:hAnsi="宋体" w:cs="宋体"/>
          <w:b/>
        </w:rPr>
        <w:t>关联关系风险：本理财</w:t>
      </w:r>
      <w:r>
        <w:rPr>
          <w:rFonts w:hint="eastAsia" w:ascii="宋体" w:hAnsi="宋体" w:cs="宋体"/>
          <w:b/>
        </w:rPr>
        <w:t>计划</w:t>
      </w:r>
      <w:r>
        <w:rPr>
          <w:rFonts w:ascii="宋体" w:hAnsi="宋体" w:cs="宋体"/>
          <w:b/>
        </w:rPr>
        <w:t>销售机构</w:t>
      </w:r>
      <w:r>
        <w:rPr>
          <w:rFonts w:hint="eastAsia" w:ascii="宋体" w:hAnsi="宋体" w:cs="宋体"/>
          <w:b/>
        </w:rPr>
        <w:t>之一</w:t>
      </w:r>
      <w:r>
        <w:rPr>
          <w:rFonts w:ascii="宋体" w:hAnsi="宋体" w:cs="宋体"/>
          <w:b/>
        </w:rPr>
        <w:t>为杭州银行股份有限公司，杭银理财系杭州银行全资子公司，双方存在关联关系。杭州银行作为本理财</w:t>
      </w:r>
      <w:r>
        <w:rPr>
          <w:rFonts w:hint="eastAsia" w:ascii="宋体" w:hAnsi="宋体" w:cs="宋体"/>
          <w:b/>
        </w:rPr>
        <w:t>计划</w:t>
      </w:r>
      <w:r>
        <w:rPr>
          <w:rFonts w:ascii="宋体" w:hAnsi="宋体" w:cs="宋体"/>
          <w:b/>
        </w:rPr>
        <w:t>销售机构将按照法律法规、监管规定，执行不低于代理销售其他机构发行管理的理财产品的准入标准、风险评级、销售管理等要求；杭州银行作为销售机构不保证本</w:t>
      </w:r>
      <w:r>
        <w:rPr>
          <w:rFonts w:hint="eastAsia" w:ascii="宋体" w:hAnsi="宋体" w:cs="宋体"/>
          <w:b/>
        </w:rPr>
        <w:t>理财计划</w:t>
      </w:r>
      <w:r>
        <w:rPr>
          <w:rFonts w:ascii="宋体" w:hAnsi="宋体" w:cs="宋体"/>
          <w:b/>
        </w:rPr>
        <w:t>收益，不承担</w:t>
      </w:r>
      <w:r>
        <w:rPr>
          <w:rFonts w:hint="eastAsia" w:ascii="宋体" w:hAnsi="宋体" w:cs="宋体"/>
          <w:b/>
        </w:rPr>
        <w:t>理财计划</w:t>
      </w:r>
      <w:r>
        <w:rPr>
          <w:rFonts w:ascii="宋体" w:hAnsi="宋体" w:cs="宋体"/>
          <w:b/>
        </w:rPr>
        <w:t>的投资、兑付和风险管理责任。</w:t>
      </w:r>
    </w:p>
    <w:p>
      <w:pPr>
        <w:numPr>
          <w:ilvl w:val="0"/>
          <w:numId w:val="1"/>
        </w:numPr>
        <w:spacing w:line="360" w:lineRule="auto"/>
        <w:ind w:firstLine="482" w:firstLineChars="200"/>
        <w:jc w:val="left"/>
        <w:outlineLvl w:val="1"/>
        <w:rPr>
          <w:rFonts w:ascii="宋体" w:hAnsi="宋体" w:cs="宋体"/>
          <w:b/>
        </w:rPr>
      </w:pPr>
      <w:r>
        <w:rPr>
          <w:rFonts w:hint="eastAsia" w:ascii="宋体" w:hAnsi="宋体" w:cs="宋体"/>
          <w:b/>
        </w:rPr>
        <w:t>理财计划特定风险</w:t>
      </w:r>
    </w:p>
    <w:p>
      <w:pPr>
        <w:numPr>
          <w:ilvl w:val="0"/>
          <w:numId w:val="5"/>
        </w:numPr>
        <w:spacing w:line="360" w:lineRule="auto"/>
        <w:ind w:firstLine="482" w:firstLineChars="200"/>
        <w:jc w:val="left"/>
        <w:rPr>
          <w:rFonts w:hint="eastAsia" w:ascii="宋体" w:hAnsi="宋体" w:cs="宋体"/>
          <w:b/>
        </w:rPr>
      </w:pPr>
      <w:r>
        <w:rPr>
          <w:rFonts w:hint="eastAsia" w:ascii="宋体" w:hAnsi="宋体" w:cs="宋体"/>
          <w:b/>
        </w:rPr>
        <w:t>资金流动性风险：本理财计划定期开放申购、赎回，非开放期内投资者不得提前交易。</w:t>
      </w:r>
    </w:p>
    <w:p>
      <w:pPr>
        <w:numPr>
          <w:ilvl w:val="0"/>
          <w:numId w:val="5"/>
        </w:numPr>
        <w:spacing w:line="360" w:lineRule="auto"/>
        <w:ind w:firstLine="482" w:firstLineChars="200"/>
        <w:jc w:val="left"/>
        <w:rPr>
          <w:rFonts w:hint="eastAsia" w:ascii="宋体" w:hAnsi="宋体" w:cs="宋体"/>
          <w:b/>
        </w:rPr>
      </w:pPr>
      <w:r>
        <w:rPr>
          <w:rFonts w:hint="eastAsia" w:ascii="宋体" w:hAnsi="宋体" w:cs="宋体"/>
          <w:b/>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spacing w:line="360" w:lineRule="auto"/>
        <w:ind w:firstLine="482" w:firstLineChars="200"/>
        <w:jc w:val="left"/>
        <w:rPr>
          <w:rFonts w:ascii="宋体" w:hAnsi="宋体" w:cs="宋体"/>
          <w:b/>
        </w:rPr>
      </w:pPr>
      <w:r>
        <w:rPr>
          <w:rFonts w:hint="eastAsia" w:ascii="宋体" w:hAnsi="宋体" w:cs="宋体"/>
          <w:b/>
        </w:rPr>
        <w:t>上述理财计划共性与特定风险发生时，投资者的本金及收益可能遭受损失，在最不利情形下，将损失全部本金及收益，由此产生的风险及损失将由投资者自行承担。</w:t>
      </w:r>
    </w:p>
    <w:p>
      <w:pPr>
        <w:numPr>
          <w:ilvl w:val="0"/>
          <w:numId w:val="1"/>
        </w:numPr>
        <w:spacing w:line="360" w:lineRule="auto"/>
        <w:ind w:firstLine="482" w:firstLineChars="200"/>
        <w:jc w:val="left"/>
        <w:outlineLvl w:val="1"/>
        <w:rPr>
          <w:rFonts w:ascii="宋体" w:hAnsi="宋体" w:cs="宋体"/>
          <w:b/>
        </w:rPr>
      </w:pPr>
      <w:r>
        <w:rPr>
          <w:rFonts w:hint="eastAsia" w:ascii="宋体" w:hAnsi="宋体" w:cs="宋体"/>
          <w:b/>
        </w:rPr>
        <w:t>其他信息提示</w:t>
      </w:r>
    </w:p>
    <w:p>
      <w:pPr>
        <w:spacing w:line="360" w:lineRule="auto"/>
        <w:ind w:firstLine="480" w:firstLineChars="200"/>
        <w:jc w:val="left"/>
        <w:rPr>
          <w:rFonts w:ascii="宋体" w:hAnsi="宋体" w:cs="宋体"/>
          <w:b/>
        </w:rPr>
      </w:pPr>
      <w:r>
        <w:rPr>
          <w:rFonts w:hint="eastAsia" w:ascii="宋体" w:hAnsi="宋体" w:cs="宋体"/>
          <w:bCs/>
        </w:rPr>
        <w:t>根据现有法律法规及金融监管机构对于理财产品的相关分类，投资者还需了解以下信息：</w:t>
      </w:r>
    </w:p>
    <w:p>
      <w:pPr>
        <w:numPr>
          <w:ilvl w:val="0"/>
          <w:numId w:val="6"/>
        </w:numPr>
        <w:spacing w:line="360" w:lineRule="auto"/>
        <w:ind w:firstLine="482" w:firstLineChars="200"/>
        <w:jc w:val="left"/>
        <w:outlineLvl w:val="2"/>
        <w:rPr>
          <w:rFonts w:hint="eastAsia" w:ascii="宋体" w:hAnsi="宋体" w:cs="宋体"/>
          <w:bCs/>
        </w:rPr>
      </w:pPr>
      <w:r>
        <w:rPr>
          <w:rFonts w:hint="eastAsia" w:ascii="宋体" w:hAnsi="宋体" w:cs="宋体"/>
          <w:b/>
        </w:rPr>
        <w:t>根据募集方式的不同，理财产品分为公募理财产品和私募理财产品。</w:t>
      </w:r>
      <w:r>
        <w:rPr>
          <w:rFonts w:hint="eastAsia" w:ascii="宋体" w:hAnsi="宋体" w:cs="宋体"/>
          <w:bCs/>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最近1年末净资产不低于1000万元人民币的法人或者依法成立的其他组织；</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国务院银行业监督管理机构规定的其他情形。</w:t>
      </w:r>
    </w:p>
    <w:p>
      <w:pPr>
        <w:numPr>
          <w:ilvl w:val="0"/>
          <w:numId w:val="8"/>
        </w:numPr>
        <w:spacing w:line="360" w:lineRule="auto"/>
        <w:ind w:firstLine="482" w:firstLineChars="200"/>
        <w:jc w:val="left"/>
        <w:outlineLvl w:val="2"/>
        <w:rPr>
          <w:rFonts w:hint="eastAsia" w:ascii="宋体" w:hAnsi="宋体" w:cs="宋体"/>
          <w:bCs/>
        </w:rPr>
      </w:pPr>
      <w:r>
        <w:rPr>
          <w:rFonts w:hint="eastAsia" w:ascii="宋体" w:hAnsi="宋体" w:cs="宋体"/>
          <w:b/>
        </w:rPr>
        <w:t>根据投资性质的不同，理财产品分为固定收益类理财产品、权益类理财产品、商品及金融衍生品类理财产品和混合类理财产品。</w:t>
      </w:r>
      <w:r>
        <w:rPr>
          <w:rFonts w:hint="eastAsia" w:ascii="宋体" w:hAnsi="宋体" w:cs="宋体"/>
          <w:bCs/>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ind w:firstLine="482" w:firstLineChars="200"/>
        <w:jc w:val="left"/>
        <w:outlineLvl w:val="2"/>
        <w:rPr>
          <w:rFonts w:hint="eastAsia" w:ascii="宋体" w:hAnsi="宋体" w:cs="宋体"/>
          <w:bCs/>
        </w:rPr>
      </w:pPr>
      <w:r>
        <w:rPr>
          <w:rFonts w:hint="eastAsia" w:ascii="宋体" w:hAnsi="宋体" w:cs="宋体"/>
          <w:b/>
        </w:rPr>
        <w:t>根据运作方式的不同，将理财产品分为封闭式理财产品和开放式理财产品。</w:t>
      </w:r>
      <w:r>
        <w:rPr>
          <w:rFonts w:hint="eastAsia" w:ascii="宋体" w:hAnsi="宋体" w:cs="宋体"/>
          <w:bCs/>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rPr>
      </w:pPr>
      <w:r>
        <w:rPr>
          <w:rFonts w:hint="eastAsia" w:ascii="宋体" w:hAnsi="宋体" w:cs="宋体"/>
          <w:b/>
        </w:rPr>
        <w:t>本理财计划为公募、开放式、〖固定收益类〗净值型理财计划，〖无固定期限〗，不保证本金与收益。根据本公司理财产品内部风险评级，该理财计划风险评级结果为〖R2〗,〖中低〗风险</w:t>
      </w:r>
      <w:r>
        <w:rPr>
          <w:rFonts w:hint="eastAsia" w:ascii="宋体" w:hAnsi="宋体" w:cs="宋体"/>
          <w:bCs/>
        </w:rPr>
        <w:t>（本风险等级为我公司内部风险评级结果，仅供参考，理财计划通过代理销售机构渠道销售的，理财计划产品评级应当以代理销售机构最终披露的评级结果为准），</w:t>
      </w:r>
      <w:r>
        <w:rPr>
          <w:rFonts w:hint="eastAsia" w:ascii="宋体" w:hAnsi="宋体" w:cs="宋体"/>
          <w:b/>
        </w:rPr>
        <w:t>总体风险〖程度较低，收益波动较小，虽然存在一些可能对产品本金和收益安全产生不利影响的因素，但产品本金出现损失的可能性较小〗。</w:t>
      </w:r>
    </w:p>
    <w:p>
      <w:pPr>
        <w:spacing w:line="360" w:lineRule="auto"/>
        <w:ind w:firstLine="482" w:firstLineChars="200"/>
        <w:jc w:val="left"/>
        <w:rPr>
          <w:rFonts w:hint="eastAsia" w:ascii="宋体" w:hAnsi="宋体" w:cs="宋体"/>
          <w:bCs/>
        </w:rPr>
      </w:pPr>
      <w:r>
        <w:rPr>
          <w:rFonts w:hint="eastAsia" w:ascii="宋体" w:hAnsi="宋体" w:cs="宋体"/>
          <w:b/>
        </w:rPr>
        <w:t>本理财计划适合〖机构投资者〗以及〖稳健型、平衡型、成长型、进取型〗的个人投资者，个人投资者的风险承受能力评估以销售机构为准。</w:t>
      </w:r>
      <w:r>
        <w:rPr>
          <w:rFonts w:hint="eastAsia" w:ascii="宋体" w:hAnsi="宋体" w:cs="宋体"/>
          <w:bCs/>
        </w:rPr>
        <w:t>本理财计划投资者适当性评估由销售机构负责，销售机构应确保个人投资者的风险承受能力不低于本理财计划风险评级。</w:t>
      </w:r>
    </w:p>
    <w:p>
      <w:pPr>
        <w:spacing w:line="360" w:lineRule="auto"/>
        <w:ind w:firstLine="480" w:firstLineChars="200"/>
        <w:jc w:val="left"/>
        <w:rPr>
          <w:rFonts w:hint="eastAsia" w:ascii="宋体" w:hAnsi="宋体" w:cs="宋体"/>
          <w:bCs/>
        </w:rPr>
      </w:pPr>
      <w:r>
        <w:rPr>
          <w:rFonts w:hint="eastAsia" w:ascii="宋体" w:hAnsi="宋体" w:cs="宋体"/>
          <w:bCs/>
        </w:rPr>
        <w:t>上述风险客观存在，敬请投资者予以充分关注！</w:t>
      </w:r>
    </w:p>
    <w:p>
      <w:pPr>
        <w:spacing w:line="360" w:lineRule="auto"/>
        <w:ind w:firstLine="480" w:firstLineChars="200"/>
        <w:jc w:val="right"/>
        <w:rPr>
          <w:rFonts w:hint="eastAsia" w:ascii="宋体" w:hAnsi="宋体" w:cs="宋体"/>
          <w:bCs/>
        </w:rPr>
      </w:pPr>
    </w:p>
    <w:p>
      <w:pPr>
        <w:spacing w:line="360" w:lineRule="auto"/>
        <w:ind w:firstLine="480" w:firstLineChars="200"/>
        <w:jc w:val="left"/>
        <w:rPr>
          <w:rFonts w:hint="eastAsia" w:ascii="宋体" w:hAnsi="宋体" w:cs="宋体"/>
          <w:bCs/>
        </w:rPr>
      </w:pPr>
      <w:r>
        <w:rPr>
          <w:rFonts w:hint="eastAsia" w:ascii="宋体" w:hAnsi="宋体" w:cs="宋体"/>
          <w:bCs/>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rPr>
      </w:pPr>
    </w:p>
    <w:p>
      <w:pPr>
        <w:spacing w:line="360" w:lineRule="auto"/>
        <w:ind w:firstLine="480" w:firstLineChars="200"/>
        <w:jc w:val="right"/>
        <w:rPr>
          <w:rFonts w:hint="eastAsia" w:ascii="宋体" w:hAnsi="宋体" w:cs="宋体"/>
          <w:bCs/>
        </w:rPr>
      </w:pPr>
    </w:p>
    <w:p>
      <w:pPr>
        <w:spacing w:line="360" w:lineRule="auto"/>
        <w:ind w:firstLine="480" w:firstLineChars="200"/>
        <w:jc w:val="right"/>
        <w:rPr>
          <w:rFonts w:hint="eastAsia" w:ascii="宋体" w:hAnsi="宋体" w:cs="宋体"/>
          <w:bCs/>
        </w:rPr>
      </w:pPr>
      <w:r>
        <w:rPr>
          <w:rFonts w:hint="eastAsia" w:ascii="宋体" w:hAnsi="宋体" w:cs="宋体"/>
          <w:bCs/>
        </w:rPr>
        <w:t>风险提示方：杭银理财有限责任公司</w:t>
      </w:r>
    </w:p>
    <w:p>
      <w:pPr>
        <w:spacing w:line="360" w:lineRule="auto"/>
        <w:rPr>
          <w:rFonts w:hint="eastAsia" w:ascii="宋体" w:hAnsi="宋体" w:cs="宋体"/>
          <w:bCs/>
        </w:rPr>
      </w:pPr>
    </w:p>
    <w:p>
      <w:pPr>
        <w:pStyle w:val="17"/>
        <w:spacing w:line="360" w:lineRule="auto"/>
        <w:jc w:val="both"/>
        <w:rPr>
          <w:rFonts w:hint="eastAsia" w:ascii="宋体" w:hAnsi="宋体" w:cs="宋体"/>
          <w:b/>
          <w:color w:val="auto"/>
        </w:rPr>
      </w:pPr>
    </w:p>
    <w:p>
      <w:pPr>
        <w:pStyle w:val="17"/>
        <w:spacing w:line="360" w:lineRule="auto"/>
        <w:ind w:firstLine="482" w:firstLineChars="200"/>
        <w:jc w:val="center"/>
        <w:outlineLvl w:val="1"/>
        <w:rPr>
          <w:rFonts w:hint="eastAsia" w:ascii="宋体" w:hAnsi="宋体" w:cs="宋体"/>
          <w:b/>
          <w:color w:val="auto"/>
        </w:rPr>
      </w:pPr>
      <w:r>
        <w:rPr>
          <w:rFonts w:hint="eastAsia" w:ascii="宋体" w:hAnsi="宋体" w:cs="宋体"/>
          <w:b/>
          <w:color w:val="auto"/>
        </w:rPr>
        <w:t>投资者确认栏（个人投资者填写）</w:t>
      </w:r>
    </w:p>
    <w:p>
      <w:pPr>
        <w:pStyle w:val="17"/>
        <w:spacing w:line="360" w:lineRule="auto"/>
        <w:jc w:val="both"/>
        <w:rPr>
          <w:rFonts w:hint="eastAsia" w:ascii="宋体" w:hAnsi="宋体" w:cs="宋体"/>
          <w:color w:val="auto"/>
        </w:rPr>
      </w:pPr>
      <w:r>
        <w:rPr>
          <w:rFonts w:hint="eastAsia" w:ascii="宋体" w:hAnsi="宋体" w:cs="宋体"/>
          <w:color w:val="auto"/>
        </w:rPr>
        <w:t>本人经销售机构评估的风险承受能力等级为（投资者填写）：</w:t>
      </w:r>
    </w:p>
    <w:p>
      <w:pPr>
        <w:pStyle w:val="17"/>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如超过一年未进行风险承受能力评估或影响本人风险承受能力的因素发生变化，本人将于再次购买理财计划时及时完成风险承受能力评估。</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声明：本人已经认真阅读本风险揭示书以及《理财计划产品说明书》《投资者权益须知》《理财计划投资协议书》《理财计划销售协议书》，已对其作全面、准确的理解，充分认识到投资本理财计划要求承担的风险，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人购买本理财计划的资金为合法自有资金，不存在使用借款、贷款等非自有资金的情形；且系为合法目的投资本理财计划，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both"/>
        <w:rPr>
          <w:rFonts w:hint="eastAsia" w:ascii="宋体" w:hAnsi="宋体" w:cs="宋体"/>
          <w:b/>
          <w:color w:val="auto"/>
        </w:rPr>
      </w:pPr>
      <w:r>
        <w:rPr>
          <w:rFonts w:hint="eastAsia" w:ascii="宋体" w:hAnsi="宋体" w:cs="宋体"/>
          <w:color w:val="auto"/>
        </w:rPr>
        <w:t>（投资者需全文抄录以下文字以完成确认：</w:t>
      </w:r>
      <w:r>
        <w:rPr>
          <w:rFonts w:hint="eastAsia" w:ascii="宋体" w:hAnsi="宋体" w:cs="宋体"/>
          <w:b/>
          <w:color w:val="auto"/>
        </w:rPr>
        <w:t xml:space="preserve">“本人已经阅读上述风险揭示，愿意承担投资风险。”如通过线上渠道购买，认/申购交易确认即视为投资者同意自身风险承受能力等级并确认风险揭示内容，愿意承担投资风险，与书面签署具有同等效力。） </w:t>
      </w:r>
    </w:p>
    <w:p>
      <w:pPr>
        <w:pStyle w:val="17"/>
        <w:spacing w:line="360" w:lineRule="auto"/>
        <w:jc w:val="both"/>
        <w:rPr>
          <w:rFonts w:hint="eastAsia" w:ascii="宋体" w:hAnsi="宋体" w:cs="宋体"/>
          <w:color w:val="auto"/>
          <w:u w:val="single"/>
        </w:rPr>
      </w:pPr>
      <w:r>
        <w:rPr>
          <w:rFonts w:hint="eastAsia" w:ascii="宋体" w:hAnsi="宋体" w:cs="宋体"/>
          <w:color w:val="auto"/>
        </w:rPr>
        <w:t>本人同时确认如下：</w:t>
      </w:r>
      <w:r>
        <w:rPr>
          <w:rFonts w:hint="eastAsia" w:ascii="宋体" w:hAnsi="宋体" w:cs="宋体"/>
          <w:color w:val="auto"/>
          <w:u w:val="single"/>
        </w:rPr>
        <w:t xml:space="preserve">                                                          </w:t>
      </w:r>
    </w:p>
    <w:p>
      <w:pPr>
        <w:spacing w:line="360" w:lineRule="auto"/>
        <w:rPr>
          <w:rFonts w:hint="eastAsia" w:ascii="宋体" w:hAnsi="宋体" w:cs="宋体"/>
          <w:kern w:val="0"/>
        </w:rPr>
      </w:pPr>
    </w:p>
    <w:p>
      <w:pPr>
        <w:spacing w:line="360" w:lineRule="auto"/>
        <w:rPr>
          <w:rFonts w:hint="eastAsia" w:ascii="宋体" w:hAnsi="宋体" w:cs="宋体"/>
          <w:kern w:val="0"/>
        </w:rPr>
      </w:pPr>
      <w:r>
        <w:rPr>
          <w:rFonts w:hint="eastAsia" w:ascii="宋体" w:hAnsi="宋体" w:cs="宋体"/>
          <w:kern w:val="0"/>
        </w:rPr>
        <w:t>确认人（签字）：</w:t>
      </w:r>
      <w:r>
        <w:rPr>
          <w:rFonts w:hint="eastAsia" w:ascii="宋体" w:hAnsi="宋体" w:cs="宋体"/>
          <w:kern w:val="0"/>
          <w:u w:val="single"/>
        </w:rPr>
        <w:t xml:space="preserve">                    </w:t>
      </w:r>
      <w:r>
        <w:rPr>
          <w:rFonts w:hint="eastAsia" w:ascii="宋体" w:hAnsi="宋体" w:cs="宋体"/>
          <w:kern w:val="0"/>
        </w:rPr>
        <w:t xml:space="preserve">           日期：</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outlineLvl w:val="1"/>
        <w:rPr>
          <w:rFonts w:hint="eastAsia" w:ascii="宋体" w:hAnsi="宋体" w:cs="宋体"/>
          <w:b/>
          <w:bCs/>
          <w:color w:val="auto"/>
        </w:rPr>
      </w:pPr>
      <w:r>
        <w:rPr>
          <w:rFonts w:hint="eastAsia" w:ascii="宋体" w:hAnsi="宋体" w:cs="宋体"/>
          <w:b/>
          <w:bCs/>
          <w:color w:val="auto"/>
        </w:rPr>
        <w:t>投资者确认栏（机构投资者）</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cs="宋体"/>
          <w:b/>
          <w:bCs/>
          <w:color w:val="auto"/>
          <w:u w:val="single"/>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jc w:val="both"/>
        <w:rPr>
          <w:rFonts w:hint="eastAsia" w:ascii="宋体" w:hAnsi="宋体" w:cs="宋体"/>
          <w:color w:val="auto"/>
        </w:rPr>
      </w:pPr>
      <w:r>
        <w:rPr>
          <w:rFonts w:hint="eastAsia" w:ascii="宋体" w:hAnsi="宋体" w:cs="宋体"/>
          <w:color w:val="auto"/>
        </w:rPr>
        <w:t>投资者（公章）                          法定代表人或授权代理人（签章）</w:t>
      </w: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r>
        <w:rPr>
          <w:rFonts w:hint="eastAsia" w:ascii="宋体" w:hAnsi="宋体" w:cs="宋体"/>
          <w:color w:val="auto"/>
        </w:rPr>
        <w:t>日期：</w:t>
      </w:r>
      <w:r>
        <w:rPr>
          <w:rFonts w:hint="eastAsia" w:ascii="宋体" w:hAnsi="宋体" w:cs="宋体"/>
          <w:u w:val="single"/>
        </w:rPr>
        <w:t xml:space="preserve">      </w:t>
      </w:r>
      <w:r>
        <w:rPr>
          <w:rFonts w:hint="eastAsia" w:ascii="宋体" w:hAnsi="宋体" w:cs="宋体"/>
          <w:color w:val="auto"/>
        </w:rPr>
        <w:t>年</w:t>
      </w:r>
      <w:r>
        <w:rPr>
          <w:rFonts w:hint="eastAsia" w:ascii="宋体" w:hAnsi="宋体" w:cs="宋体"/>
          <w:u w:val="single"/>
        </w:rPr>
        <w:t xml:space="preserve">    </w:t>
      </w:r>
      <w:r>
        <w:rPr>
          <w:rFonts w:hint="eastAsia" w:ascii="宋体" w:hAnsi="宋体" w:cs="宋体"/>
          <w:color w:val="auto"/>
        </w:rPr>
        <w:t>月</w:t>
      </w:r>
      <w:r>
        <w:rPr>
          <w:rFonts w:hint="eastAsia" w:ascii="宋体" w:hAnsi="宋体" w:cs="宋体"/>
          <w:u w:val="single"/>
        </w:rPr>
        <w:t xml:space="preserve">    </w:t>
      </w:r>
      <w:r>
        <w:rPr>
          <w:rFonts w:hint="eastAsia" w:ascii="宋体" w:hAnsi="宋体" w:cs="宋体"/>
          <w:color w:val="auto"/>
        </w:rPr>
        <w:t>日</w:t>
      </w:r>
    </w:p>
    <w:p>
      <w:pPr>
        <w:pStyle w:val="17"/>
        <w:spacing w:line="360" w:lineRule="auto"/>
        <w:ind w:firstLine="482" w:firstLineChars="200"/>
        <w:jc w:val="both"/>
        <w:rPr>
          <w:rFonts w:hint="eastAsia" w:ascii="宋体" w:hAnsi="宋体" w:cs="宋体"/>
          <w:b/>
          <w:bCs/>
          <w:color w:val="auto"/>
        </w:rPr>
      </w:pPr>
    </w:p>
    <w:p>
      <w:pPr>
        <w:pStyle w:val="17"/>
        <w:spacing w:line="360" w:lineRule="auto"/>
        <w:ind w:firstLine="482" w:firstLineChars="200"/>
        <w:jc w:val="both"/>
        <w:rPr>
          <w:rFonts w:hint="eastAsia" w:ascii="宋体" w:hAnsi="宋体" w:cs="宋体"/>
          <w:b/>
          <w:bCs/>
          <w:color w:val="auto"/>
          <w:u w:val="single"/>
        </w:rPr>
      </w:pPr>
    </w:p>
    <w:p>
      <w:pPr>
        <w:jc w:val="center"/>
        <w:outlineLvl w:val="0"/>
        <w:rPr>
          <w:rFonts w:hint="eastAsia" w:ascii="宋体" w:hAnsi="宋体" w:cs="宋体"/>
          <w:b/>
          <w:bCs/>
          <w:sz w:val="44"/>
          <w:szCs w:val="44"/>
        </w:rPr>
      </w:pPr>
      <w:r>
        <w:rPr>
          <w:rFonts w:hint="eastAsia" w:ascii="宋体" w:hAnsi="宋体" w:cs="宋体"/>
          <w:b/>
          <w:bCs/>
          <w:sz w:val="44"/>
          <w:szCs w:val="44"/>
        </w:rPr>
        <w:br w:type="page"/>
      </w:r>
      <w:r>
        <w:rPr>
          <w:rFonts w:hint="eastAsia" w:ascii="宋体" w:hAnsi="宋体" w:cs="宋体"/>
          <w:b/>
          <w:bCs/>
          <w:sz w:val="44"/>
          <w:szCs w:val="44"/>
        </w:rPr>
        <w:t>杭银理财幸福99月添益2001期理财产品说明书</w:t>
      </w:r>
    </w:p>
    <w:p>
      <w:pPr>
        <w:jc w:val="center"/>
        <w:rPr>
          <w:rFonts w:hint="eastAsia" w:ascii="宋体" w:hAnsi="宋体" w:cs="宋体"/>
          <w:b/>
          <w:bCs/>
          <w:sz w:val="44"/>
          <w:szCs w:val="44"/>
        </w:rPr>
      </w:pPr>
      <w:r>
        <w:rPr>
          <w:rFonts w:hint="eastAsia" w:ascii="宋体" w:hAnsi="宋体" w:cs="宋体"/>
          <w:sz w:val="28"/>
          <w:szCs w:val="28"/>
        </w:rPr>
        <w:t>（202201版）</w:t>
      </w:r>
    </w:p>
    <w:p>
      <w:pPr>
        <w:spacing w:line="360" w:lineRule="auto"/>
        <w:jc w:val="right"/>
        <w:rPr>
          <w:rFonts w:hint="eastAsia" w:ascii="宋体" w:hAnsi="宋体" w:cs="宋体"/>
          <w:bCs/>
        </w:rPr>
      </w:pPr>
      <w:r>
        <w:rPr>
          <w:rFonts w:hint="eastAsia" w:ascii="宋体" w:hAnsi="宋体" w:cs="宋体"/>
          <w:color w:val="000000"/>
        </w:rPr>
        <w:t>备案编号:</w:t>
      </w:r>
      <w:r>
        <w:rPr>
          <w:rFonts w:hint="eastAsia" w:ascii="宋体" w:hAnsi="宋体" w:cs="宋体"/>
          <w:bCs/>
        </w:rPr>
        <w:t>〖</w:t>
      </w:r>
      <w:r>
        <w:rPr>
          <w:rFonts w:ascii="宋体" w:hAnsi="宋体" w:cs="宋体"/>
        </w:rPr>
        <w:t>Z70022210002</w:t>
      </w:r>
      <w:r>
        <w:rPr>
          <w:rFonts w:hint="eastAsia" w:ascii="宋体" w:hAnsi="宋体" w:cs="宋体"/>
        </w:rPr>
        <w:t>71</w:t>
      </w:r>
      <w:r>
        <w:rPr>
          <w:rFonts w:hint="eastAsia" w:ascii="宋体" w:hAnsi="宋体" w:cs="宋体"/>
          <w:bCs/>
        </w:rPr>
        <w:t>〗</w:t>
      </w:r>
    </w:p>
    <w:p>
      <w:pPr>
        <w:spacing w:line="360" w:lineRule="auto"/>
        <w:jc w:val="center"/>
        <w:rPr>
          <w:rFonts w:hint="eastAsia" w:ascii="宋体" w:hAnsi="宋体" w:cs="宋体"/>
          <w:bCs/>
        </w:rPr>
      </w:pPr>
    </w:p>
    <w:p>
      <w:pPr>
        <w:numPr>
          <w:ilvl w:val="0"/>
          <w:numId w:val="9"/>
        </w:numPr>
        <w:spacing w:line="360" w:lineRule="auto"/>
        <w:ind w:firstLine="482" w:firstLineChars="200"/>
        <w:jc w:val="left"/>
        <w:outlineLvl w:val="1"/>
        <w:rPr>
          <w:rFonts w:ascii="宋体" w:hAnsi="宋体" w:cs="宋体"/>
          <w:b/>
        </w:rPr>
      </w:pPr>
      <w:r>
        <w:rPr>
          <w:rFonts w:hint="eastAsia" w:ascii="宋体" w:hAnsi="宋体" w:cs="宋体"/>
          <w:b/>
        </w:rPr>
        <w:t>重要须知</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本理财计划不等同于银行存款、预期收益型理财产品或其他产品。</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2"/>
        <w:rPr>
          <w:rFonts w:hint="eastAsia" w:ascii="宋体" w:hAnsi="宋体" w:cs="宋体"/>
          <w:bCs/>
        </w:rPr>
      </w:pPr>
      <w:r>
        <w:rPr>
          <w:rFonts w:hint="eastAsia" w:ascii="宋体" w:hAnsi="宋体" w:cs="宋体"/>
          <w:b/>
        </w:rPr>
        <w:t>本理财计划是非保本净值型产品。管理人对本理财计划的本金和收益不提供保证承诺。</w:t>
      </w:r>
      <w:r>
        <w:rPr>
          <w:rFonts w:hint="eastAsia" w:ascii="宋体" w:hAnsi="宋体" w:cs="宋体"/>
          <w:bCs/>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交易合同。</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在本理财计划存续期内，如因监管政策或法律法规发生变化，在不损害投资者利益的前提下，管理人有权单方对本理财计划说明书条款进行修订。</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管理人有权依法对本理财计划产品说明书进行解释。</w:t>
      </w:r>
    </w:p>
    <w:p>
      <w:pPr>
        <w:spacing w:line="360" w:lineRule="auto"/>
        <w:jc w:val="left"/>
        <w:rPr>
          <w:rFonts w:hint="eastAsia" w:ascii="宋体" w:hAnsi="宋体" w:cs="宋体"/>
          <w:bCs/>
        </w:rPr>
      </w:pPr>
    </w:p>
    <w:p>
      <w:pPr>
        <w:numPr>
          <w:ilvl w:val="0"/>
          <w:numId w:val="11"/>
        </w:numPr>
        <w:spacing w:line="360" w:lineRule="auto"/>
        <w:ind w:firstLine="482" w:firstLineChars="200"/>
        <w:jc w:val="left"/>
        <w:outlineLvl w:val="1"/>
        <w:rPr>
          <w:rFonts w:ascii="宋体" w:hAnsi="宋体" w:cs="宋体"/>
          <w:b/>
        </w:rPr>
      </w:pPr>
      <w:r>
        <w:rPr>
          <w:rFonts w:hint="eastAsia" w:ascii="宋体" w:hAnsi="宋体" w:cs="宋体"/>
          <w:b/>
        </w:rPr>
        <w:t>释义</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本说明书中，除非另有明确说明，否则下列词语或简称具有如下含义：</w:t>
      </w:r>
    </w:p>
    <w:p>
      <w:pPr>
        <w:pStyle w:val="17"/>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参与主体用语</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理财计划管理人/产品管理人/管理人/本公司：</w:t>
      </w:r>
      <w:r>
        <w:rPr>
          <w:rFonts w:hint="eastAsia" w:ascii="宋体" w:hAnsi="宋体" w:cs="宋体"/>
          <w:bCs/>
          <w:color w:val="auto"/>
          <w:kern w:val="2"/>
        </w:rPr>
        <w:t>指杭银理财有限责任公司，主要从事面向不特定社会公众公开发行理财产品、面向合格投资者非公开发行理财产品、理财顾问和咨询服务等相关业务。杭银理财有限责任公司简称杭银理财，官网网站为https://</w:t>
      </w:r>
      <w:r>
        <w:rPr>
          <w:rFonts w:hint="eastAsia" w:ascii="宋体" w:hAnsi="宋体" w:cs="宋体"/>
          <w:bCs/>
          <w:color w:val="auto"/>
          <w:kern w:val="2"/>
        </w:rPr>
        <w:fldChar w:fldCharType="begin"/>
      </w:r>
      <w:r>
        <w:rPr>
          <w:rFonts w:hint="eastAsia" w:ascii="宋体" w:hAnsi="宋体" w:cs="宋体"/>
          <w:bCs/>
          <w:color w:val="auto"/>
          <w:kern w:val="2"/>
        </w:rPr>
        <w:instrText xml:space="preserve"> HYPERLINK "http://www.hzbank.com.cn" </w:instrText>
      </w:r>
      <w:r>
        <w:rPr>
          <w:rFonts w:hint="eastAsia" w:ascii="宋体" w:hAnsi="宋体" w:cs="宋体"/>
          <w:bCs/>
          <w:color w:val="auto"/>
          <w:kern w:val="2"/>
        </w:rPr>
        <w:fldChar w:fldCharType="separate"/>
      </w:r>
      <w:r>
        <w:rPr>
          <w:rFonts w:hint="eastAsia" w:ascii="宋体" w:hAnsi="宋体" w:cs="宋体"/>
          <w:bCs/>
          <w:color w:val="auto"/>
          <w:kern w:val="2"/>
        </w:rPr>
        <w:t>www.hzbankwealth.com.cn</w:t>
      </w:r>
      <w:r>
        <w:rPr>
          <w:rFonts w:hint="eastAsia" w:ascii="宋体" w:hAnsi="宋体" w:cs="宋体"/>
          <w:bCs/>
          <w:color w:val="auto"/>
          <w:kern w:val="2"/>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rPr>
        <w:t>。</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销售机构：</w:t>
      </w:r>
      <w:r>
        <w:rPr>
          <w:rFonts w:hint="eastAsia" w:ascii="宋体" w:hAnsi="宋体" w:cs="宋体"/>
          <w:bCs/>
          <w:color w:val="auto"/>
          <w:kern w:val="2"/>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auto"/>
          <w:kern w:val="2"/>
        </w:rPr>
        <w:fldChar w:fldCharType="begin"/>
      </w:r>
      <w:r>
        <w:rPr>
          <w:rFonts w:hint="eastAsia" w:ascii="宋体" w:hAnsi="宋体" w:cs="宋体"/>
          <w:bCs/>
          <w:color w:val="auto"/>
          <w:kern w:val="2"/>
        </w:rPr>
        <w:instrText xml:space="preserve"> HYPERLINK "http://www.hzbank.com.cn" </w:instrText>
      </w:r>
      <w:r>
        <w:rPr>
          <w:rFonts w:hint="eastAsia" w:ascii="宋体" w:hAnsi="宋体" w:cs="宋体"/>
          <w:bCs/>
          <w:color w:val="auto"/>
          <w:kern w:val="2"/>
        </w:rPr>
        <w:fldChar w:fldCharType="separate"/>
      </w:r>
      <w:r>
        <w:rPr>
          <w:rFonts w:hint="eastAsia" w:ascii="宋体" w:hAnsi="宋体" w:cs="宋体"/>
          <w:bCs/>
          <w:color w:val="auto"/>
          <w:kern w:val="2"/>
        </w:rPr>
        <w:t>www.hzbank.com.cn</w:t>
      </w:r>
      <w:r>
        <w:rPr>
          <w:rFonts w:hint="eastAsia" w:ascii="宋体" w:hAnsi="宋体" w:cs="宋体"/>
          <w:bCs/>
          <w:color w:val="auto"/>
          <w:kern w:val="2"/>
        </w:rPr>
        <w:fldChar w:fldCharType="end"/>
      </w:r>
      <w:r>
        <w:rPr>
          <w:rFonts w:hint="eastAsia" w:ascii="宋体" w:hAnsi="宋体" w:cs="宋体"/>
          <w:bCs/>
          <w:color w:val="auto"/>
          <w:kern w:val="2"/>
        </w:rPr>
        <w:t>，客服热线为95398。</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理财计划托管人/产品托管人/托管人：</w:t>
      </w:r>
      <w:r>
        <w:rPr>
          <w:rFonts w:hint="eastAsia" w:ascii="宋体" w:hAnsi="宋体" w:cs="宋体"/>
          <w:bCs/>
          <w:color w:val="auto"/>
          <w:kern w:val="2"/>
        </w:rPr>
        <w:t>指</w:t>
      </w:r>
      <w:r>
        <w:rPr>
          <w:rFonts w:hint="eastAsia" w:ascii="宋体" w:hAnsi="宋体" w:cs="宋体"/>
        </w:rPr>
        <w:t>〖</w:t>
      </w:r>
      <w:r>
        <w:rPr>
          <w:rFonts w:hint="eastAsia" w:ascii="宋体" w:hAnsi="宋体" w:cs="宋体"/>
          <w:bCs/>
          <w:color w:val="auto"/>
          <w:kern w:val="2"/>
        </w:rPr>
        <w:t>杭州银行股份有限公司</w:t>
      </w:r>
      <w:r>
        <w:rPr>
          <w:rFonts w:hint="eastAsia" w:ascii="宋体" w:hAnsi="宋体" w:cs="宋体"/>
        </w:rPr>
        <w:t>〗</w:t>
      </w:r>
      <w:r>
        <w:rPr>
          <w:rFonts w:hint="eastAsia" w:ascii="宋体" w:hAnsi="宋体" w:cs="宋体"/>
          <w:bCs/>
          <w:color w:val="auto"/>
          <w:kern w:val="2"/>
        </w:rPr>
        <w:t>。</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认购人：</w:t>
      </w:r>
      <w:r>
        <w:rPr>
          <w:rFonts w:hint="eastAsia" w:ascii="宋体" w:hAnsi="宋体" w:cs="宋体"/>
          <w:bCs/>
          <w:color w:val="auto"/>
          <w:kern w:val="2"/>
        </w:rPr>
        <w:t>指在理财计划认购期间签署理财计划合同并向理财计划管理人交付认购资金的个人、机构投资者。</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理财计划份额持有人/持有人：</w:t>
      </w:r>
      <w:r>
        <w:rPr>
          <w:rFonts w:hint="eastAsia" w:ascii="宋体" w:hAnsi="宋体" w:cs="宋体"/>
          <w:bCs/>
          <w:color w:val="auto"/>
          <w:kern w:val="2"/>
        </w:rPr>
        <w:t>指认购/申购申请后，经过管理人确认成功后，从而持有理财计划份额的投资者。</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监管机构：</w:t>
      </w:r>
      <w:r>
        <w:rPr>
          <w:rFonts w:hint="eastAsia" w:ascii="宋体" w:hAnsi="宋体" w:cs="宋体"/>
          <w:bCs/>
          <w:color w:val="auto"/>
          <w:kern w:val="2"/>
        </w:rPr>
        <w:t>指对管理人（包括本理财计划管理人、所投资的的信托计划/资管计划的管理人/受托人、相关投资顾问等）实施监督管理的机构，包括但不限于中国人民银行、</w:t>
      </w:r>
      <w:r>
        <w:rPr>
          <w:rFonts w:hint="eastAsia" w:ascii="宋体" w:hAnsi="宋体" w:cs="宋体"/>
          <w:bCs/>
          <w:color w:val="auto"/>
          <w:kern w:val="2"/>
          <w:lang w:eastAsia="zh-CN"/>
        </w:rPr>
        <w:t>国家金融监督管理总局</w:t>
      </w:r>
      <w:r>
        <w:rPr>
          <w:rFonts w:hint="eastAsia" w:ascii="宋体" w:hAnsi="宋体" w:cs="宋体"/>
          <w:bCs/>
          <w:color w:val="auto"/>
          <w:kern w:val="2"/>
        </w:rPr>
        <w:t>、中国证券监督管理委员会、外汇管理局、银行业理财登记托管中心等。</w:t>
      </w:r>
    </w:p>
    <w:p>
      <w:pPr>
        <w:pStyle w:val="17"/>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法律文件用语</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理财计划说明书/产品说明书：</w:t>
      </w:r>
      <w:r>
        <w:rPr>
          <w:rFonts w:hint="eastAsia" w:ascii="宋体" w:hAnsi="宋体" w:cs="宋体"/>
          <w:bCs/>
          <w:color w:val="auto"/>
          <w:kern w:val="2"/>
        </w:rPr>
        <w:t>指《杭银理财幸福99</w:t>
      </w:r>
      <w:r>
        <w:rPr>
          <w:rFonts w:hint="eastAsia" w:ascii="宋体" w:hAnsi="宋体" w:cs="宋体"/>
          <w:bCs/>
        </w:rPr>
        <w:t>月添益2001期理财产品说明书</w:t>
      </w:r>
      <w:r>
        <w:rPr>
          <w:rFonts w:hint="eastAsia" w:ascii="宋体" w:hAnsi="宋体" w:cs="宋体"/>
          <w:bCs/>
          <w:color w:val="auto"/>
          <w:kern w:val="2"/>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风险揭示书：</w:t>
      </w:r>
      <w:r>
        <w:rPr>
          <w:rFonts w:hint="eastAsia" w:ascii="宋体" w:hAnsi="宋体" w:cs="宋体"/>
          <w:bCs/>
          <w:color w:val="auto"/>
          <w:kern w:val="2"/>
        </w:rPr>
        <w:t>指作为杭银理财幸福99</w:t>
      </w:r>
      <w:r>
        <w:rPr>
          <w:rFonts w:hint="eastAsia" w:ascii="宋体" w:hAnsi="宋体" w:cs="宋体"/>
          <w:bCs/>
        </w:rPr>
        <w:t>月添益2001期理财合同不可分割组成部分的风险揭示书，</w:t>
      </w:r>
      <w:r>
        <w:rPr>
          <w:rFonts w:hint="eastAsia" w:ascii="宋体" w:hAnsi="宋体" w:cs="宋体"/>
          <w:bCs/>
          <w:color w:val="auto"/>
          <w:kern w:val="2"/>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投资者权益须知：</w:t>
      </w:r>
      <w:r>
        <w:rPr>
          <w:rFonts w:hint="eastAsia" w:ascii="宋体" w:hAnsi="宋体" w:cs="宋体"/>
          <w:bCs/>
          <w:color w:val="auto"/>
          <w:kern w:val="2"/>
        </w:rPr>
        <w:t>指作为杭银理财幸福99</w:t>
      </w:r>
      <w:r>
        <w:rPr>
          <w:rFonts w:hint="eastAsia" w:ascii="宋体" w:hAnsi="宋体" w:cs="宋体"/>
          <w:bCs/>
        </w:rPr>
        <w:t>月添益2001期理财合同不可分割组成部分的投资者权益须知，</w:t>
      </w:r>
      <w:r>
        <w:rPr>
          <w:rFonts w:hint="eastAsia" w:ascii="宋体" w:hAnsi="宋体" w:cs="宋体"/>
          <w:bCs/>
          <w:color w:val="auto"/>
          <w:kern w:val="2"/>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理财计划投资协议书：</w:t>
      </w:r>
      <w:r>
        <w:rPr>
          <w:rFonts w:hint="eastAsia" w:ascii="宋体" w:hAnsi="宋体" w:cs="宋体"/>
          <w:bCs/>
          <w:color w:val="auto"/>
          <w:kern w:val="2"/>
        </w:rPr>
        <w:t>指作为杭银理财幸福99</w:t>
      </w:r>
      <w:r>
        <w:rPr>
          <w:rFonts w:hint="eastAsia" w:ascii="宋体" w:hAnsi="宋体" w:cs="宋体"/>
          <w:bCs/>
        </w:rPr>
        <w:t>月添益2001期理财合同不可分割组成部分的理财计划投资协议书，</w:t>
      </w:r>
      <w:r>
        <w:rPr>
          <w:rFonts w:hint="eastAsia" w:ascii="宋体" w:hAnsi="宋体" w:cs="宋体"/>
          <w:bCs/>
          <w:color w:val="auto"/>
          <w:kern w:val="2"/>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理财计划销售协议书：</w:t>
      </w:r>
      <w:r>
        <w:rPr>
          <w:rFonts w:hint="eastAsia" w:ascii="宋体" w:hAnsi="宋体" w:cs="宋体"/>
          <w:bCs/>
          <w:color w:val="auto"/>
          <w:kern w:val="2"/>
        </w:rPr>
        <w:t>指作为杭银理财幸福99</w:t>
      </w:r>
      <w:r>
        <w:rPr>
          <w:rFonts w:hint="eastAsia" w:ascii="宋体" w:hAnsi="宋体" w:cs="宋体"/>
          <w:bCs/>
        </w:rPr>
        <w:t>月添益2001期理财</w:t>
      </w:r>
      <w:r>
        <w:rPr>
          <w:rFonts w:hint="eastAsia" w:ascii="宋体" w:hAnsi="宋体" w:cs="宋体"/>
          <w:bCs/>
          <w:color w:val="auto"/>
          <w:kern w:val="2"/>
        </w:rPr>
        <w:t>合同不可分割组成部分的理财计划销售协议书，以及对该文件的有效修改与补充。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理财计划合同/销售文件：</w:t>
      </w:r>
      <w:r>
        <w:rPr>
          <w:rFonts w:hint="eastAsia" w:ascii="宋体" w:hAnsi="宋体" w:cs="宋体"/>
          <w:bCs/>
          <w:color w:val="auto"/>
          <w:kern w:val="2"/>
        </w:rPr>
        <w:t>指《理财计划风险揭示书》《理财计划产品说明书》《投资者权益须知》《理财计划投资协议书》《理财计划销售协议书》五个部分。</w:t>
      </w:r>
    </w:p>
    <w:p>
      <w:pPr>
        <w:pStyle w:val="17"/>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理财产品用语</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理财计划/理财产品/产品：</w:t>
      </w:r>
      <w:r>
        <w:rPr>
          <w:rFonts w:hint="eastAsia" w:ascii="宋体" w:hAnsi="宋体" w:cs="宋体"/>
          <w:bCs/>
          <w:color w:val="auto"/>
          <w:kern w:val="2"/>
        </w:rPr>
        <w:t>指杭银理财幸福99</w:t>
      </w:r>
      <w:r>
        <w:rPr>
          <w:rFonts w:hint="eastAsia" w:ascii="宋体" w:hAnsi="宋体" w:cs="宋体"/>
          <w:bCs/>
        </w:rPr>
        <w:t>月添益2001期理财。</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理财计划份额/产品份额：</w:t>
      </w:r>
      <w:r>
        <w:rPr>
          <w:rFonts w:hint="eastAsia" w:ascii="宋体" w:hAnsi="宋体" w:cs="宋体"/>
          <w:bCs/>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理财计划份额净值/产品份额净值：</w:t>
      </w:r>
      <w:r>
        <w:rPr>
          <w:rFonts w:hint="eastAsia" w:ascii="宋体" w:hAnsi="宋体" w:cs="宋体"/>
          <w:bCs/>
        </w:rPr>
        <w:t>指理财计划份额的单位净值，即每1份理财计划份额以人民币或外币（以产品说明书交易币种为准）计价的价格。</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理财计划份额累计净值/产品份额累计净值：</w:t>
      </w:r>
      <w:r>
        <w:rPr>
          <w:rFonts w:hint="eastAsia" w:ascii="宋体" w:hAnsi="宋体" w:cs="宋体"/>
          <w:bCs/>
        </w:rPr>
        <w:t>指理财计划份额的单位净值与理财计划成立后历次累计单位收益分配的总和。</w:t>
      </w:r>
    </w:p>
    <w:p>
      <w:pPr>
        <w:pStyle w:val="17"/>
        <w:numPr>
          <w:ilvl w:val="0"/>
          <w:numId w:val="15"/>
        </w:numPr>
        <w:adjustRightInd/>
        <w:spacing w:line="360" w:lineRule="auto"/>
        <w:ind w:firstLine="482" w:firstLineChars="200"/>
        <w:rPr>
          <w:rFonts w:hint="eastAsia" w:ascii="宋体" w:hAnsi="宋体" w:cs="宋体"/>
          <w:b/>
        </w:rPr>
      </w:pPr>
      <w:r>
        <w:rPr>
          <w:rFonts w:hint="eastAsia" w:ascii="宋体" w:hAnsi="宋体" w:cs="宋体"/>
          <w:b/>
        </w:rPr>
        <w:t>工作日：</w:t>
      </w:r>
      <w:r>
        <w:rPr>
          <w:rFonts w:hint="eastAsia" w:ascii="宋体" w:hAnsi="宋体" w:cs="宋体"/>
          <w:bCs/>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rPr>
      </w:pPr>
      <w:r>
        <w:rPr>
          <w:rFonts w:hint="eastAsia" w:ascii="宋体" w:hAnsi="宋体" w:cs="宋体"/>
          <w:b/>
        </w:rPr>
        <w:t>交易日：</w:t>
      </w:r>
      <w:r>
        <w:rPr>
          <w:rFonts w:hint="eastAsia" w:ascii="宋体" w:hAnsi="宋体" w:cs="宋体"/>
          <w:bCs/>
        </w:rPr>
        <w:t>指上海证券交易所、深圳证券交易所的正常交易日。</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成立日：</w:t>
      </w:r>
      <w:r>
        <w:rPr>
          <w:rFonts w:hint="eastAsia" w:ascii="宋体" w:hAnsi="宋体" w:cs="宋体"/>
          <w:bCs/>
        </w:rPr>
        <w:t>指理财计划完成首次募集发行后正式成立运作日。</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认购期：</w:t>
      </w:r>
      <w:r>
        <w:rPr>
          <w:rFonts w:hint="eastAsia" w:ascii="宋体" w:hAnsi="宋体" w:cs="宋体"/>
          <w:bCs/>
          <w:color w:val="auto"/>
          <w:kern w:val="2"/>
        </w:rPr>
        <w:t>指理财计划成立前，理财计划管理人接受理财计划认购的时间。</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封闭期：</w:t>
      </w:r>
      <w:r>
        <w:rPr>
          <w:rFonts w:hint="eastAsia" w:ascii="宋体" w:hAnsi="宋体" w:cs="宋体"/>
          <w:bCs/>
          <w:color w:val="auto"/>
          <w:kern w:val="2"/>
        </w:rPr>
        <w:t>指理财计划成立后，理财计划不接受投资者申购赎回的时间。</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建仓期：</w:t>
      </w:r>
      <w:r>
        <w:rPr>
          <w:rFonts w:hint="eastAsia" w:ascii="宋体" w:hAnsi="宋体" w:cs="宋体"/>
          <w:bCs/>
          <w:color w:val="auto"/>
          <w:kern w:val="2"/>
        </w:rPr>
        <w:t>指理财计划成立后，在一定期限内投资比例无法满足本理财计划约定的投资比例要求。</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投资周期：</w:t>
      </w:r>
      <w:r>
        <w:rPr>
          <w:rFonts w:hint="eastAsia" w:ascii="宋体" w:hAnsi="宋体" w:cs="宋体"/>
          <w:bCs/>
          <w:color w:val="auto"/>
          <w:kern w:val="2"/>
        </w:rPr>
        <w:t>指理财计划成立或申购/赎回开放期确认后，至下一个申购/赎回开放期确认前的时间。如申购和赎回开放期确认时间不一致，应明确以申购投资周期或赎回投资周期作为理财计划的投资周期。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到期日：</w:t>
      </w:r>
      <w:r>
        <w:rPr>
          <w:rFonts w:hint="eastAsia" w:ascii="宋体" w:hAnsi="宋体" w:cs="宋体"/>
          <w:bCs/>
          <w:color w:val="auto"/>
          <w:kern w:val="2"/>
        </w:rPr>
        <w:t>指理财计划终止运作的日期。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收益分配基准日：</w:t>
      </w:r>
      <w:r>
        <w:rPr>
          <w:rFonts w:hint="eastAsia" w:ascii="宋体" w:hAnsi="宋体" w:cs="宋体"/>
          <w:bCs/>
          <w:color w:val="auto"/>
          <w:kern w:val="2"/>
        </w:rPr>
        <w:t>指理财计划进行收益分配时用以确认分配收益金额的最终确认日期。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节假日临时调整：</w:t>
      </w:r>
      <w:r>
        <w:rPr>
          <w:rFonts w:hint="eastAsia" w:ascii="宋体" w:hAnsi="宋体" w:cs="宋体"/>
          <w:bCs/>
          <w:color w:val="auto"/>
          <w:kern w:val="2"/>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提前终止权：</w:t>
      </w:r>
      <w:r>
        <w:rPr>
          <w:rFonts w:hint="eastAsia" w:ascii="宋体" w:hAnsi="宋体" w:cs="宋体"/>
          <w:bCs/>
        </w:rPr>
        <w:t>指在本理财计划存续期内，管理人单方面决定全部提前终止本理财计划的权利。</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提前终止日：</w:t>
      </w:r>
      <w:r>
        <w:rPr>
          <w:rFonts w:hint="eastAsia" w:ascii="宋体" w:hAnsi="宋体" w:cs="宋体"/>
          <w:bCs/>
          <w:color w:val="auto"/>
          <w:kern w:val="2"/>
        </w:rPr>
        <w:t>指</w:t>
      </w:r>
      <w:r>
        <w:rPr>
          <w:rFonts w:hint="eastAsia" w:ascii="宋体" w:hAnsi="宋体" w:cs="宋体"/>
          <w:bCs/>
        </w:rPr>
        <w:t>管理人行使提前终止权的日期，即本理财计划被提前终止、开始停止计算收益的日期。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资金到账日：</w:t>
      </w:r>
      <w:r>
        <w:rPr>
          <w:rFonts w:hint="eastAsia" w:ascii="宋体" w:hAnsi="宋体" w:cs="宋体"/>
          <w:bCs/>
        </w:rPr>
        <w:t>指理财计划终止运作后，资金返还至投资者账户的日期。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开放日：</w:t>
      </w:r>
      <w:r>
        <w:rPr>
          <w:rFonts w:hint="eastAsia" w:ascii="宋体" w:hAnsi="宋体" w:cs="宋体"/>
          <w:bCs/>
          <w:color w:val="auto"/>
          <w:kern w:val="2"/>
        </w:rPr>
        <w:t>指为投资者办理申购、赎回交易的日期。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开放期：</w:t>
      </w:r>
      <w:r>
        <w:rPr>
          <w:rFonts w:hint="eastAsia" w:ascii="宋体" w:hAnsi="宋体" w:cs="宋体"/>
          <w:bCs/>
        </w:rPr>
        <w:t>指管理人向投资者提供申购、赎回交易的时间。</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确认日：</w:t>
      </w:r>
      <w:r>
        <w:rPr>
          <w:rFonts w:hint="eastAsia" w:ascii="宋体" w:hAnsi="宋体" w:cs="宋体"/>
          <w:bCs/>
          <w:color w:val="auto"/>
          <w:kern w:val="2"/>
        </w:rPr>
        <w:t>指管理人确认投资者申购、赎回交易是否有效的日期。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w:t>
      </w:r>
      <w:r>
        <w:rPr>
          <w:rFonts w:hint="eastAsia" w:ascii="宋体" w:hAnsi="宋体" w:cs="宋体"/>
          <w:bCs/>
          <w:color w:val="auto"/>
          <w:kern w:val="2"/>
        </w:rPr>
        <w:t>指投资者根据理财计划约定申请购买本理财计划份额的行为。</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申购：</w:t>
      </w:r>
      <w:r>
        <w:rPr>
          <w:rFonts w:hint="eastAsia" w:ascii="宋体" w:hAnsi="宋体" w:cs="宋体"/>
          <w:bCs/>
          <w:color w:val="auto"/>
          <w:kern w:val="2"/>
        </w:rPr>
        <w:t>指理财计划申购开放期内，投资者向管理人进行理财计划份额购买的行为。</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赎回：</w:t>
      </w:r>
      <w:r>
        <w:rPr>
          <w:rFonts w:hint="eastAsia" w:ascii="宋体" w:hAnsi="宋体" w:cs="宋体"/>
          <w:bCs/>
          <w:color w:val="auto"/>
          <w:kern w:val="2"/>
        </w:rPr>
        <w:t>指理财计划赎回开放期内，投资者向管理人进行理财计划份额卖出的行为。</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收益分配：</w:t>
      </w:r>
      <w:r>
        <w:rPr>
          <w:rFonts w:hint="eastAsia" w:ascii="宋体" w:hAnsi="宋体" w:cs="宋体"/>
          <w:bCs/>
          <w:color w:val="auto"/>
          <w:kern w:val="2"/>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理财计划费用/产品费用：</w:t>
      </w:r>
      <w:r>
        <w:rPr>
          <w:rFonts w:hint="eastAsia" w:ascii="宋体" w:hAnsi="宋体" w:cs="宋体"/>
          <w:bCs/>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其他费用：</w:t>
      </w:r>
      <w:r>
        <w:rPr>
          <w:rFonts w:hint="eastAsia" w:ascii="宋体" w:hAnsi="宋体" w:cs="宋体"/>
          <w:bCs/>
        </w:rPr>
        <w:t>指除理财计划费用以外，理财计划涉及的其他相关费用，包括但不限于认购费、申购费、赎回费、投顾费等，具体以本说明书第八条约定为准。</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理财计划估值：</w:t>
      </w:r>
      <w:r>
        <w:rPr>
          <w:rFonts w:hint="eastAsia" w:ascii="宋体" w:hAnsi="宋体" w:cs="宋体"/>
          <w:bCs/>
        </w:rPr>
        <w:t>指计算评估理财计划资产以确定理财计划份额净值的过程。</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理财业绩比较基准：</w:t>
      </w:r>
      <w:r>
        <w:rPr>
          <w:rFonts w:hint="eastAsia" w:ascii="宋体" w:hAnsi="宋体" w:cs="宋体"/>
          <w:bCs/>
          <w:color w:val="auto"/>
          <w:kern w:val="2"/>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指定账户：</w:t>
      </w:r>
      <w:r>
        <w:rPr>
          <w:rFonts w:hint="eastAsia" w:ascii="宋体" w:hAnsi="宋体" w:cs="宋体"/>
          <w:bCs/>
          <w:color w:val="auto"/>
          <w:kern w:val="2"/>
        </w:rPr>
        <w:t>指投资者开立的，在理财计划认/申购时指定扣划本金、返还本金或收益的银行账户。</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流</w:t>
      </w:r>
      <w:r>
        <w:rPr>
          <w:rFonts w:hint="eastAsia"/>
          <w:b/>
        </w:rPr>
        <w:t>动性受限资产：</w:t>
      </w:r>
      <w:r>
        <w:rPr>
          <w:rFonts w:hint="eastAsia"/>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b/>
          <w:bCs/>
        </w:rPr>
        <w:t>7个工作日可变现资产：</w:t>
      </w:r>
      <w:r>
        <w:rPr>
          <w:rFonts w:hint="eastAsia"/>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7"/>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相关事件用语</w:t>
      </w:r>
    </w:p>
    <w:p>
      <w:pPr>
        <w:pStyle w:val="17"/>
        <w:numPr>
          <w:ilvl w:val="0"/>
          <w:numId w:val="16"/>
        </w:numPr>
        <w:adjustRightInd/>
        <w:spacing w:line="360" w:lineRule="auto"/>
        <w:ind w:firstLine="482" w:firstLineChars="200"/>
        <w:rPr>
          <w:rFonts w:hint="eastAsia" w:ascii="宋体" w:hAnsi="宋体" w:cs="宋体"/>
          <w:bCs/>
          <w:color w:val="auto"/>
          <w:kern w:val="2"/>
        </w:rPr>
      </w:pPr>
      <w:r>
        <w:rPr>
          <w:rFonts w:hint="eastAsia" w:ascii="宋体" w:hAnsi="宋体" w:cs="宋体"/>
          <w:b/>
          <w:color w:val="auto"/>
          <w:kern w:val="2"/>
        </w:rPr>
        <w:t>不可抗力：</w:t>
      </w:r>
      <w:r>
        <w:rPr>
          <w:rFonts w:hint="eastAsia" w:ascii="宋体" w:hAnsi="宋体" w:cs="宋体"/>
          <w:bCs/>
          <w:color w:val="auto"/>
          <w:kern w:val="2"/>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rPr>
      </w:pPr>
      <w:r>
        <w:rPr>
          <w:rFonts w:hint="eastAsia" w:ascii="宋体" w:hAnsi="宋体" w:cs="宋体"/>
          <w:bCs/>
          <w:color w:val="auto"/>
          <w:kern w:val="2"/>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（2）战争、政变、恐怖主义行动、骚乱、罢工；</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巨额赎回：</w:t>
      </w:r>
      <w:r>
        <w:rPr>
          <w:rFonts w:hint="eastAsia" w:ascii="宋体" w:hAnsi="宋体" w:cs="宋体"/>
          <w:bCs/>
          <w:color w:val="auto"/>
          <w:kern w:val="2"/>
        </w:rPr>
        <w:t>指理财计划的申购和赎回开放期内，理财计划任一开放日净赎回申请份额超过上一工作日日终理财计划总份额的〖10%〗，即为发生巨额赎回行为。</w:t>
      </w:r>
    </w:p>
    <w:p>
      <w:pPr>
        <w:pStyle w:val="17"/>
        <w:adjustRightInd/>
        <w:spacing w:line="360" w:lineRule="auto"/>
        <w:rPr>
          <w:rFonts w:hint="eastAsia" w:ascii="宋体" w:hAnsi="宋体" w:cs="宋体"/>
          <w:b/>
          <w:color w:val="auto"/>
          <w:kern w:val="2"/>
        </w:rPr>
      </w:pPr>
    </w:p>
    <w:p>
      <w:pPr>
        <w:pStyle w:val="17"/>
        <w:numPr>
          <w:ilvl w:val="0"/>
          <w:numId w:val="18"/>
        </w:numPr>
        <w:adjustRightInd/>
        <w:spacing w:line="360" w:lineRule="auto"/>
        <w:ind w:firstLine="482" w:firstLineChars="200"/>
        <w:outlineLvl w:val="1"/>
        <w:rPr>
          <w:rFonts w:hint="eastAsia" w:ascii="宋体" w:hAnsi="宋体" w:cs="宋体"/>
          <w:b/>
          <w:color w:val="auto"/>
          <w:kern w:val="2"/>
        </w:rPr>
      </w:pPr>
      <w:r>
        <w:rPr>
          <w:rFonts w:hint="eastAsia" w:ascii="宋体" w:hAnsi="宋体" w:cs="宋体"/>
          <w:b/>
          <w:color w:val="auto"/>
          <w:kern w:val="2"/>
        </w:rPr>
        <w:t>风险评级</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rPr>
        <w:t>本理财计划的风险等级为〖R2〗，〖中低〗风险。</w:t>
      </w:r>
      <w:r>
        <w:rPr>
          <w:rFonts w:hint="eastAsia" w:ascii="宋体" w:hAnsi="宋体" w:cs="宋体"/>
          <w:bCs/>
          <w:color w:val="auto"/>
          <w:kern w:val="2"/>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内部风险评级</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风险程度</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R1</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低</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
                <w:color w:val="auto"/>
                <w:kern w:val="2"/>
              </w:rPr>
            </w:pPr>
            <w:r>
              <w:rPr>
                <w:rFonts w:hint="eastAsia" w:ascii="宋体" w:hAnsi="宋体" w:cs="宋体"/>
                <w:b/>
                <w:color w:val="auto"/>
                <w:kern w:val="2"/>
              </w:rPr>
              <w:t>R2</w:t>
            </w:r>
          </w:p>
        </w:tc>
        <w:tc>
          <w:tcPr>
            <w:tcW w:w="1382" w:type="dxa"/>
            <w:noWrap w:val="0"/>
            <w:vAlign w:val="top"/>
          </w:tcPr>
          <w:p>
            <w:pPr>
              <w:pStyle w:val="17"/>
              <w:adjustRightInd/>
              <w:spacing w:line="360" w:lineRule="auto"/>
              <w:jc w:val="center"/>
              <w:rPr>
                <w:rFonts w:ascii="宋体" w:hAnsi="宋体" w:cs="宋体"/>
                <w:b/>
                <w:color w:val="auto"/>
                <w:kern w:val="2"/>
              </w:rPr>
            </w:pPr>
            <w:r>
              <w:rPr>
                <w:rFonts w:hint="eastAsia" w:ascii="宋体" w:hAnsi="宋体" w:cs="宋体"/>
                <w:b/>
                <w:color w:val="auto"/>
                <w:kern w:val="2"/>
              </w:rPr>
              <w:t>中低</w:t>
            </w:r>
          </w:p>
        </w:tc>
        <w:tc>
          <w:tcPr>
            <w:tcW w:w="4755" w:type="dxa"/>
            <w:noWrap w:val="0"/>
            <w:vAlign w:val="top"/>
          </w:tcPr>
          <w:p>
            <w:pPr>
              <w:pStyle w:val="17"/>
              <w:adjustRightInd/>
              <w:spacing w:line="360" w:lineRule="auto"/>
              <w:jc w:val="center"/>
              <w:rPr>
                <w:rFonts w:ascii="宋体" w:hAnsi="宋体" w:cs="宋体"/>
                <w:b/>
                <w:color w:val="auto"/>
                <w:kern w:val="2"/>
              </w:rPr>
            </w:pPr>
            <w:r>
              <w:rPr>
                <w:rFonts w:hint="eastAsia" w:ascii="宋体" w:hAnsi="宋体" w:cs="宋体"/>
                <w:b/>
                <w:color w:val="auto"/>
                <w:kern w:val="2"/>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R3</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中</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R4</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中高</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R5</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高</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进取型</w:t>
            </w:r>
          </w:p>
        </w:tc>
      </w:tr>
    </w:tbl>
    <w:p>
      <w:pPr>
        <w:pStyle w:val="17"/>
        <w:adjustRightInd/>
        <w:spacing w:line="360" w:lineRule="auto"/>
        <w:ind w:firstLine="480" w:firstLineChars="200"/>
        <w:rPr>
          <w:rFonts w:ascii="宋体" w:hAnsi="宋体" w:cs="宋体"/>
          <w:bCs/>
          <w:color w:val="auto"/>
          <w:kern w:val="2"/>
        </w:rPr>
      </w:pPr>
      <w:r>
        <w:rPr>
          <w:rFonts w:hint="eastAsia" w:ascii="宋体" w:hAnsi="宋体" w:cs="宋体"/>
          <w:bCs/>
          <w:color w:val="auto"/>
          <w:kern w:val="2"/>
        </w:rPr>
        <w:t>投资者风险承受能力评级水平以销售机构评估为准。</w:t>
      </w:r>
    </w:p>
    <w:p>
      <w:pPr>
        <w:pStyle w:val="17"/>
        <w:adjustRightInd/>
        <w:spacing w:line="360" w:lineRule="auto"/>
        <w:rPr>
          <w:rFonts w:hint="eastAsia" w:ascii="宋体" w:hAnsi="宋体" w:cs="宋体"/>
          <w:b/>
          <w:color w:val="auto"/>
          <w:kern w:val="2"/>
        </w:rPr>
      </w:pPr>
    </w:p>
    <w:p>
      <w:pPr>
        <w:pStyle w:val="17"/>
        <w:numPr>
          <w:ilvl w:val="0"/>
          <w:numId w:val="18"/>
        </w:numPr>
        <w:adjustRightInd/>
        <w:spacing w:line="360" w:lineRule="auto"/>
        <w:outlineLvl w:val="1"/>
        <w:rPr>
          <w:rFonts w:hint="eastAsia" w:ascii="宋体" w:hAnsi="宋体" w:cs="宋体"/>
          <w:b/>
          <w:color w:val="auto"/>
          <w:kern w:val="2"/>
        </w:rPr>
      </w:pPr>
      <w:r>
        <w:rPr>
          <w:rFonts w:hint="eastAsia" w:ascii="宋体" w:hAnsi="宋体" w:cs="宋体"/>
          <w:b/>
          <w:color w:val="auto"/>
          <w:kern w:val="2"/>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产品名称</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杭银理财幸福99</w:t>
            </w:r>
            <w:r>
              <w:rPr>
                <w:rFonts w:hint="eastAsia" w:ascii="宋体" w:hAnsi="宋体" w:cs="宋体"/>
                <w:bCs/>
                <w:sz w:val="21"/>
                <w:szCs w:val="21"/>
              </w:rPr>
              <w:t>月添益2001期</w:t>
            </w:r>
            <w:r>
              <w:rPr>
                <w:rFonts w:hint="eastAsia" w:ascii="宋体" w:hAnsi="宋体" w:cs="宋体"/>
                <w:sz w:val="21"/>
                <w:szCs w:val="21"/>
              </w:rPr>
              <w:t>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产品简称</w:t>
            </w:r>
          </w:p>
        </w:tc>
        <w:tc>
          <w:tcPr>
            <w:tcW w:w="7185" w:type="dxa"/>
            <w:noWrap w:val="0"/>
            <w:vAlign w:val="center"/>
          </w:tcPr>
          <w:p>
            <w:pPr>
              <w:widowControl/>
              <w:spacing w:line="360" w:lineRule="auto"/>
              <w:contextualSpacing/>
              <w:rPr>
                <w:rFonts w:ascii="宋体" w:hAnsi="宋体" w:cs="宋体"/>
                <w:sz w:val="21"/>
                <w:szCs w:val="21"/>
              </w:rPr>
            </w:pPr>
            <w:r>
              <w:rPr>
                <w:rFonts w:hint="eastAsia" w:ascii="宋体" w:hAnsi="宋体" w:cs="宋体"/>
                <w:sz w:val="21"/>
                <w:szCs w:val="21"/>
              </w:rPr>
              <w:t>月添益2001期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产品编号</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TYG1M2001</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登记编码</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本理财计划在全国银行业理财信息登记系统的原登记编码是〖</w:t>
            </w:r>
            <w:r>
              <w:rPr>
                <w:rFonts w:ascii="宋体" w:hAnsi="宋体" w:cs="宋体"/>
                <w:color w:val="000000"/>
                <w:kern w:val="0"/>
                <w:sz w:val="21"/>
                <w:szCs w:val="21"/>
              </w:rPr>
              <w:t>C10920</w:t>
            </w:r>
            <w:r>
              <w:rPr>
                <w:rFonts w:hint="eastAsia" w:ascii="宋体" w:hAnsi="宋体" w:cs="宋体"/>
                <w:color w:val="000000"/>
                <w:kern w:val="0"/>
                <w:sz w:val="21"/>
                <w:szCs w:val="21"/>
              </w:rPr>
              <w:t>20000457</w:t>
            </w:r>
            <w:r>
              <w:rPr>
                <w:rFonts w:hint="eastAsia" w:ascii="宋体" w:hAnsi="宋体" w:cs="宋体"/>
                <w:color w:val="000000"/>
                <w:sz w:val="21"/>
                <w:szCs w:val="21"/>
              </w:rPr>
              <w:t>〗</w:t>
            </w:r>
            <w:r>
              <w:rPr>
                <w:rFonts w:hint="eastAsia" w:ascii="宋体" w:hAnsi="宋体" w:cs="宋体"/>
                <w:color w:val="000000"/>
                <w:kern w:val="0"/>
              </w:rPr>
              <w:t>，</w:t>
            </w:r>
            <w:r>
              <w:rPr>
                <w:rFonts w:hint="eastAsia" w:ascii="宋体" w:hAnsi="宋体" w:cs="宋体"/>
                <w:color w:val="000000"/>
                <w:sz w:val="21"/>
                <w:szCs w:val="21"/>
              </w:rPr>
              <w:t>变更登记后为〖</w:t>
            </w:r>
            <w:r>
              <w:rPr>
                <w:rFonts w:ascii="宋体" w:hAnsi="宋体" w:cs="宋体"/>
                <w:sz w:val="21"/>
                <w:szCs w:val="21"/>
              </w:rPr>
              <w:t>Z70022210002</w:t>
            </w:r>
            <w:r>
              <w:rPr>
                <w:rFonts w:hint="eastAsia" w:ascii="宋体" w:hAnsi="宋体" w:cs="宋体"/>
                <w:sz w:val="21"/>
                <w:szCs w:val="21"/>
              </w:rPr>
              <w:t>71</w:t>
            </w:r>
            <w:r>
              <w:rPr>
                <w:rFonts w:hint="eastAsia" w:ascii="宋体" w:hAnsi="宋体" w:cs="宋体"/>
                <w:color w:val="000000"/>
                <w:sz w:val="21"/>
                <w:szCs w:val="21"/>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发行对象</w:t>
            </w:r>
          </w:p>
        </w:tc>
        <w:tc>
          <w:tcPr>
            <w:tcW w:w="7185" w:type="dxa"/>
            <w:noWrap w:val="0"/>
            <w:vAlign w:val="center"/>
          </w:tcPr>
          <w:p>
            <w:pPr>
              <w:widowControl/>
              <w:spacing w:line="360" w:lineRule="auto"/>
              <w:contextualSpacing/>
              <w:rPr>
                <w:rFonts w:hint="eastAsia" w:ascii="宋体" w:hAnsi="宋体" w:cs="宋体"/>
                <w:bCs/>
                <w:sz w:val="21"/>
                <w:szCs w:val="21"/>
              </w:rPr>
            </w:pPr>
            <w:r>
              <w:rPr>
                <w:rFonts w:hint="eastAsia" w:ascii="宋体" w:hAnsi="宋体" w:cs="宋体"/>
                <w:color w:val="000000"/>
                <w:sz w:val="21"/>
                <w:szCs w:val="21"/>
              </w:rPr>
              <w:t>本理财计划适合</w:t>
            </w:r>
            <w:r>
              <w:rPr>
                <w:rFonts w:hint="eastAsia" w:ascii="宋体" w:hAnsi="宋体" w:cs="宋体"/>
                <w:b/>
                <w:sz w:val="21"/>
                <w:szCs w:val="21"/>
              </w:rPr>
              <w:t>〖</w:t>
            </w:r>
            <w:r>
              <w:rPr>
                <w:rFonts w:hint="eastAsia" w:ascii="宋体" w:hAnsi="宋体" w:cs="宋体"/>
                <w:b/>
                <w:color w:val="000000"/>
                <w:sz w:val="21"/>
                <w:szCs w:val="21"/>
              </w:rPr>
              <w:t>机构投资者</w:t>
            </w:r>
            <w:r>
              <w:rPr>
                <w:rFonts w:hint="eastAsia" w:ascii="宋体" w:hAnsi="宋体" w:cs="宋体"/>
                <w:b/>
                <w:sz w:val="21"/>
                <w:szCs w:val="21"/>
              </w:rPr>
              <w:t>〗</w:t>
            </w:r>
            <w:r>
              <w:rPr>
                <w:rFonts w:hint="eastAsia" w:ascii="宋体" w:hAnsi="宋体" w:cs="宋体"/>
                <w:b/>
                <w:color w:val="000000"/>
                <w:sz w:val="21"/>
                <w:szCs w:val="21"/>
              </w:rPr>
              <w:t>以及</w:t>
            </w:r>
            <w:r>
              <w:rPr>
                <w:rFonts w:hint="eastAsia" w:ascii="宋体" w:hAnsi="宋体" w:cs="宋体"/>
                <w:b/>
                <w:sz w:val="21"/>
                <w:szCs w:val="21"/>
              </w:rPr>
              <w:t>〖稳健型、平衡型、成长型、进取型〗</w:t>
            </w:r>
            <w:r>
              <w:rPr>
                <w:rFonts w:hint="eastAsia" w:ascii="宋体" w:hAnsi="宋体" w:cs="宋体"/>
                <w:b/>
                <w:color w:val="000000"/>
                <w:sz w:val="21"/>
                <w:szCs w:val="21"/>
              </w:rPr>
              <w:t>的个人投资者。</w:t>
            </w:r>
            <w:r>
              <w:rPr>
                <w:rFonts w:hint="eastAsia" w:ascii="宋体" w:hAnsi="宋体" w:cs="宋体"/>
                <w:bCs/>
                <w:sz w:val="21"/>
                <w:szCs w:val="21"/>
              </w:rPr>
              <w:t>投资者风险承受能力评级水平以销售机构评估为准。</w:t>
            </w:r>
          </w:p>
          <w:p>
            <w:pPr>
              <w:widowControl/>
              <w:spacing w:line="360" w:lineRule="auto"/>
              <w:contextualSpacing/>
              <w:rPr>
                <w:rFonts w:hint="eastAsia" w:ascii="宋体" w:hAnsi="宋体" w:cs="宋体"/>
                <w:b w:val="0"/>
                <w:bCs/>
                <w:color w:val="000000"/>
                <w:sz w:val="21"/>
                <w:szCs w:val="21"/>
                <w:highlight w:val="none"/>
                <w:lang w:val="en-US" w:eastAsia="zh-CN"/>
              </w:rPr>
            </w:pPr>
            <w:r>
              <w:rPr>
                <w:rFonts w:hint="eastAsia" w:ascii="宋体" w:hAnsi="宋体" w:cs="宋体"/>
                <w:bCs/>
                <w:sz w:val="21"/>
                <w:szCs w:val="21"/>
                <w:lang w:val="en-US" w:eastAsia="zh-CN"/>
              </w:rPr>
              <w:t>A份额</w:t>
            </w:r>
            <w:r>
              <w:rPr>
                <w:rFonts w:hint="eastAsia" w:ascii="宋体" w:hAnsi="宋体" w:cs="宋体"/>
                <w:b w:val="0"/>
                <w:bCs/>
                <w:color w:val="000000"/>
                <w:sz w:val="21"/>
                <w:szCs w:val="21"/>
                <w:highlight w:val="none"/>
                <w:lang w:val="en-US" w:eastAsia="zh-CN"/>
              </w:rPr>
              <w:t>（销售代码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TYG1M2001</w:t>
            </w:r>
            <w:r>
              <w:rPr>
                <w:rFonts w:hint="eastAsia" w:ascii="宋体" w:hAnsi="宋体" w:cs="宋体"/>
                <w:color w:val="000000"/>
                <w:sz w:val="21"/>
                <w:szCs w:val="21"/>
                <w:highlight w:val="none"/>
              </w:rPr>
              <w:t>〗</w:t>
            </w:r>
            <w:r>
              <w:rPr>
                <w:rFonts w:hint="eastAsia" w:ascii="宋体" w:hAnsi="宋体" w:cs="宋体"/>
                <w:b w:val="0"/>
                <w:bCs/>
                <w:color w:val="000000"/>
                <w:sz w:val="21"/>
                <w:szCs w:val="21"/>
                <w:highlight w:val="none"/>
                <w:lang w:val="en-US" w:eastAsia="zh-CN"/>
              </w:rPr>
              <w:t>）面向</w:t>
            </w:r>
            <w:r>
              <w:rPr>
                <w:rFonts w:hint="eastAsia" w:ascii="宋体" w:hAnsi="宋体" w:cs="宋体"/>
                <w:color w:val="000000"/>
                <w:sz w:val="21"/>
                <w:szCs w:val="21"/>
                <w:highlight w:val="none"/>
              </w:rPr>
              <w:t>〖</w:t>
            </w:r>
            <w:r>
              <w:rPr>
                <w:rFonts w:hint="eastAsia" w:ascii="宋体" w:hAnsi="宋体" w:cs="宋体"/>
                <w:sz w:val="21"/>
                <w:szCs w:val="21"/>
                <w:highlight w:val="none"/>
              </w:rPr>
              <w:t>普通个人投资者和机构客户</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发售</w:t>
            </w:r>
            <w:r>
              <w:rPr>
                <w:rFonts w:hint="eastAsia" w:ascii="宋体" w:hAnsi="宋体" w:cs="宋体"/>
                <w:b w:val="0"/>
                <w:bCs/>
                <w:color w:val="000000"/>
                <w:sz w:val="21"/>
                <w:szCs w:val="21"/>
                <w:highlight w:val="none"/>
                <w:lang w:val="en-US" w:eastAsia="zh-CN"/>
              </w:rPr>
              <w:t>。</w:t>
            </w:r>
          </w:p>
          <w:p>
            <w:pPr>
              <w:widowControl/>
              <w:spacing w:line="360" w:lineRule="auto"/>
              <w:contextualSpacing/>
              <w:rPr>
                <w:rFonts w:hint="eastAsia" w:ascii="宋体" w:hAnsi="宋体" w:cs="宋体"/>
                <w:b w:val="0"/>
                <w:bCs/>
                <w:color w:val="000000"/>
                <w:sz w:val="21"/>
                <w:szCs w:val="21"/>
                <w:highlight w:val="none"/>
                <w:lang w:val="en-US" w:eastAsia="zh-CN"/>
              </w:rPr>
            </w:pPr>
            <w:r>
              <w:rPr>
                <w:rFonts w:hint="eastAsia" w:ascii="宋体" w:hAnsi="宋体" w:cs="宋体"/>
                <w:b w:val="0"/>
                <w:bCs/>
                <w:color w:val="000000"/>
                <w:sz w:val="21"/>
                <w:szCs w:val="21"/>
                <w:highlight w:val="none"/>
                <w:lang w:val="en-US" w:eastAsia="zh-CN"/>
              </w:rPr>
              <w:t>B份额（</w:t>
            </w:r>
            <w:r>
              <w:rPr>
                <w:rFonts w:hint="eastAsia" w:ascii="宋体" w:hAnsi="宋体" w:cs="宋体"/>
                <w:bCs w:val="0"/>
                <w:color w:val="000000"/>
                <w:sz w:val="21"/>
                <w:szCs w:val="21"/>
                <w:highlight w:val="none"/>
                <w:lang w:val="en-US" w:eastAsia="zh-CN"/>
              </w:rPr>
              <w:t>销售代码</w:t>
            </w:r>
            <w:r>
              <w:rPr>
                <w:rFonts w:hint="eastAsia" w:ascii="宋体" w:hAnsi="宋体" w:cs="宋体"/>
                <w:szCs w:val="21"/>
              </w:rPr>
              <w:t>〖TYG1M2001</w:t>
            </w: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b w:val="0"/>
                <w:bCs/>
                <w:color w:val="000000"/>
                <w:sz w:val="21"/>
                <w:szCs w:val="21"/>
                <w:highlight w:val="none"/>
                <w:lang w:val="en-US" w:eastAsia="zh-CN"/>
              </w:rPr>
              <w:t>）面向</w:t>
            </w:r>
            <w:r>
              <w:rPr>
                <w:rFonts w:hint="eastAsia" w:ascii="宋体" w:hAnsi="宋体" w:cs="宋体"/>
                <w:b w:val="0"/>
                <w:bCs/>
                <w:color w:val="000000"/>
                <w:sz w:val="21"/>
                <w:szCs w:val="21"/>
                <w:highlight w:val="none"/>
                <w:lang w:eastAsia="zh-CN"/>
              </w:rPr>
              <w:t>〖</w:t>
            </w:r>
            <w:r>
              <w:rPr>
                <w:rFonts w:hint="eastAsia" w:ascii="宋体" w:hAnsi="宋体" w:cs="宋体"/>
                <w:b w:val="0"/>
                <w:bCs/>
                <w:color w:val="000000"/>
                <w:sz w:val="21"/>
                <w:szCs w:val="21"/>
                <w:highlight w:val="none"/>
                <w:lang w:val="en-US" w:eastAsia="zh-CN"/>
              </w:rPr>
              <w:t>其他代销机构</w:t>
            </w:r>
            <w:r>
              <w:rPr>
                <w:rFonts w:hint="eastAsia" w:ascii="宋体" w:hAnsi="宋体" w:cs="宋体"/>
                <w:b w:val="0"/>
                <w:bCs/>
                <w:color w:val="000000"/>
                <w:sz w:val="21"/>
                <w:szCs w:val="21"/>
                <w:highlight w:val="none"/>
                <w:lang w:eastAsia="zh-CN"/>
              </w:rPr>
              <w:t>〗</w:t>
            </w:r>
            <w:r>
              <w:rPr>
                <w:rFonts w:hint="eastAsia" w:ascii="宋体" w:hAnsi="宋体" w:cs="宋体"/>
                <w:b w:val="0"/>
                <w:bCs/>
                <w:color w:val="000000"/>
                <w:sz w:val="21"/>
                <w:szCs w:val="21"/>
                <w:highlight w:val="none"/>
                <w:lang w:val="en-US" w:eastAsia="zh-CN"/>
              </w:rPr>
              <w:t>发售。</w:t>
            </w:r>
          </w:p>
          <w:p>
            <w:pPr>
              <w:widowControl/>
              <w:spacing w:line="360" w:lineRule="auto"/>
              <w:contextualSpacing/>
              <w:rPr>
                <w:rFonts w:hint="eastAsia" w:ascii="宋体" w:hAnsi="宋体" w:cs="宋体"/>
                <w:bCs/>
                <w:sz w:val="21"/>
                <w:szCs w:val="21"/>
              </w:rPr>
            </w:pPr>
            <w:r>
              <w:rPr>
                <w:rFonts w:hint="eastAsia" w:ascii="宋体" w:hAnsi="宋体" w:cs="宋体"/>
                <w:b w:val="0"/>
                <w:bCs/>
                <w:color w:val="000000"/>
                <w:sz w:val="21"/>
                <w:szCs w:val="21"/>
                <w:highlight w:val="none"/>
                <w:lang w:val="en-US" w:eastAsia="zh-CN"/>
              </w:rPr>
              <w:t>C份额（销售代码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TYG1M2001C</w:t>
            </w:r>
            <w:r>
              <w:rPr>
                <w:rFonts w:hint="eastAsia" w:ascii="宋体" w:hAnsi="宋体" w:cs="宋体"/>
                <w:color w:val="000000"/>
                <w:sz w:val="21"/>
                <w:szCs w:val="21"/>
                <w:highlight w:val="none"/>
              </w:rPr>
              <w:t>〗</w:t>
            </w:r>
            <w:r>
              <w:rPr>
                <w:rFonts w:hint="eastAsia" w:ascii="宋体" w:hAnsi="宋体" w:cs="宋体"/>
                <w:b w:val="0"/>
                <w:bCs/>
                <w:color w:val="000000"/>
                <w:sz w:val="21"/>
                <w:szCs w:val="21"/>
                <w:highlight w:val="none"/>
                <w:lang w:val="en-US" w:eastAsia="zh-CN"/>
              </w:rPr>
              <w:t>）面向</w:t>
            </w:r>
            <w:r>
              <w:rPr>
                <w:rFonts w:hint="eastAsia" w:ascii="宋体" w:hAnsi="宋体" w:cs="宋体"/>
                <w:color w:val="000000"/>
                <w:sz w:val="21"/>
                <w:szCs w:val="21"/>
                <w:highlight w:val="none"/>
              </w:rPr>
              <w:t>〖</w:t>
            </w:r>
            <w:r>
              <w:rPr>
                <w:rFonts w:hint="eastAsia" w:ascii="宋体" w:hAnsi="宋体" w:cs="宋体"/>
                <w:sz w:val="21"/>
                <w:szCs w:val="21"/>
                <w:highlight w:val="none"/>
                <w:lang w:val="en-US" w:eastAsia="zh-CN"/>
              </w:rPr>
              <w:t>其他代销机构</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发售。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发行方式</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产品类型</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〖固定收益类〗</w:t>
            </w:r>
            <w:r>
              <w:rPr>
                <w:rFonts w:hint="eastAsia" w:ascii="宋体" w:hAnsi="宋体" w:cs="宋体"/>
                <w:color w:val="000000"/>
                <w:sz w:val="21"/>
                <w:szCs w:val="21"/>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运作模式</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分级产品</w:t>
            </w:r>
          </w:p>
        </w:tc>
        <w:tc>
          <w:tcPr>
            <w:tcW w:w="7185" w:type="dxa"/>
            <w:noWrap w:val="0"/>
            <w:vAlign w:val="center"/>
          </w:tcPr>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销售范围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全国</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销售渠道</w:t>
            </w:r>
          </w:p>
        </w:tc>
        <w:tc>
          <w:tcPr>
            <w:tcW w:w="7185" w:type="dxa"/>
            <w:noWrap w:val="0"/>
            <w:vAlign w:val="center"/>
          </w:tcPr>
          <w:p>
            <w:pPr>
              <w:widowControl/>
              <w:spacing w:line="360" w:lineRule="auto"/>
              <w:contextualSpacing/>
              <w:jc w:val="left"/>
              <w:rPr>
                <w:rFonts w:hint="eastAsia" w:ascii="宋体" w:hAnsi="宋体" w:cs="宋体"/>
                <w:color w:val="000000"/>
                <w:sz w:val="21"/>
                <w:szCs w:val="21"/>
              </w:rPr>
            </w:pPr>
            <w:r>
              <w:rPr>
                <w:rFonts w:hint="eastAsia" w:ascii="宋体" w:hAnsi="宋体" w:cs="宋体"/>
                <w:color w:val="000000"/>
                <w:sz w:val="21"/>
                <w:szCs w:val="21"/>
              </w:rPr>
              <w:t>可通过杭银理财直销渠道和代理销售机构的</w:t>
            </w:r>
            <w:r>
              <w:rPr>
                <w:rFonts w:hint="eastAsia" w:ascii="宋体" w:hAnsi="宋体" w:cs="宋体"/>
                <w:sz w:val="21"/>
                <w:szCs w:val="21"/>
              </w:rPr>
              <w:t>〖</w:t>
            </w:r>
            <w:r>
              <w:rPr>
                <w:rFonts w:hint="eastAsia" w:ascii="宋体" w:hAnsi="宋体" w:cs="宋体"/>
                <w:color w:val="000000"/>
                <w:sz w:val="21"/>
                <w:szCs w:val="21"/>
              </w:rPr>
              <w:t>营业网点、网上银行、手机银行</w:t>
            </w:r>
            <w:r>
              <w:rPr>
                <w:rFonts w:hint="eastAsia" w:ascii="宋体" w:hAnsi="宋体" w:cs="宋体"/>
                <w:sz w:val="21"/>
                <w:szCs w:val="21"/>
              </w:rPr>
              <w:t>〗</w:t>
            </w:r>
            <w:r>
              <w:rPr>
                <w:rFonts w:hint="eastAsia" w:ascii="宋体" w:hAnsi="宋体" w:cs="宋体"/>
                <w:color w:val="000000"/>
                <w:sz w:val="21"/>
                <w:szCs w:val="21"/>
              </w:rPr>
              <w:t>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交易币种</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人民币</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发行规模上限</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lang w:val="en-US" w:eastAsia="zh-CN"/>
              </w:rPr>
              <w:t>A、C份额：合计</w:t>
            </w:r>
            <w:r>
              <w:rPr>
                <w:rFonts w:hint="eastAsia" w:ascii="宋体" w:hAnsi="宋体" w:cs="宋体"/>
                <w:color w:val="000000"/>
                <w:sz w:val="21"/>
                <w:szCs w:val="21"/>
              </w:rPr>
              <w:t>〖100〗亿元</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highlight w:val="none"/>
                <w:lang w:val="en-US" w:eastAsia="zh-CN"/>
              </w:rPr>
              <w:t>B份额：合计</w:t>
            </w:r>
            <w:r>
              <w:rPr>
                <w:rFonts w:hint="eastAsia" w:ascii="宋体" w:hAnsi="宋体" w:cs="宋体"/>
                <w:color w:val="000000"/>
                <w:sz w:val="21"/>
                <w:szCs w:val="21"/>
                <w:highlight w:val="none"/>
              </w:rPr>
              <w:t>〖10〗亿元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认购期</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〖2020〗年〖4〗月〖17〗日-〖2020〗年〖4〗月〖23〗日</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认购时间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认购期首日〖9：00〗至认购结束日〖17：00〗</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成立日</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〖2020〗年〖4〗月〖24〗日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理财期限</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封闭期</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〖2020〗年〖4〗月〖24〗日-〖2020〗年〖6〗月〖14〗日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认购/申购</w:t>
            </w:r>
          </w:p>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起点金额</w:t>
            </w:r>
          </w:p>
        </w:tc>
        <w:tc>
          <w:tcPr>
            <w:tcW w:w="7185" w:type="dxa"/>
            <w:noWrap w:val="0"/>
            <w:vAlign w:val="center"/>
          </w:tcPr>
          <w:p>
            <w:pPr>
              <w:widowControl/>
              <w:spacing w:line="360" w:lineRule="auto"/>
              <w:contextualSpacing/>
              <w:rPr>
                <w:rFonts w:hint="eastAsia" w:ascii="宋体" w:hAnsi="宋体" w:cs="宋体"/>
                <w:color w:val="000000"/>
                <w:kern w:val="0"/>
                <w:sz w:val="21"/>
                <w:szCs w:val="21"/>
              </w:rPr>
            </w:pPr>
            <w:r>
              <w:rPr>
                <w:rFonts w:hint="eastAsia" w:ascii="宋体" w:hAnsi="宋体" w:cs="宋体"/>
                <w:color w:val="000000"/>
                <w:sz w:val="21"/>
                <w:szCs w:val="21"/>
              </w:rPr>
              <w:t>起点</w:t>
            </w:r>
            <w:r>
              <w:rPr>
                <w:rFonts w:hint="eastAsia" w:ascii="宋体" w:hAnsi="宋体" w:cs="宋体"/>
                <w:sz w:val="21"/>
                <w:szCs w:val="21"/>
              </w:rPr>
              <w:t>〖1〗</w:t>
            </w:r>
            <w:r>
              <w:rPr>
                <w:rFonts w:hint="eastAsia" w:ascii="宋体" w:hAnsi="宋体" w:cs="宋体"/>
                <w:color w:val="000000"/>
                <w:sz w:val="21"/>
                <w:szCs w:val="21"/>
              </w:rPr>
              <w:t>元整，超过认购/申购起点部分，应为</w:t>
            </w:r>
            <w:r>
              <w:rPr>
                <w:rFonts w:hint="eastAsia" w:ascii="宋体" w:hAnsi="宋体" w:cs="宋体"/>
                <w:sz w:val="21"/>
                <w:szCs w:val="21"/>
              </w:rPr>
              <w:t>〖1〗</w:t>
            </w:r>
            <w:r>
              <w:rPr>
                <w:rFonts w:hint="eastAsia" w:ascii="宋体" w:hAnsi="宋体" w:cs="宋体"/>
                <w:color w:val="000000"/>
                <w:sz w:val="21"/>
                <w:szCs w:val="21"/>
              </w:rPr>
              <w:t>元的整数倍。</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kern w:val="0"/>
                <w:sz w:val="21"/>
                <w:szCs w:val="21"/>
              </w:rPr>
            </w:pPr>
            <w:r>
              <w:rPr>
                <w:rFonts w:hint="eastAsia" w:ascii="宋体" w:hAnsi="宋体" w:cs="宋体"/>
                <w:sz w:val="21"/>
                <w:szCs w:val="21"/>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认购份额</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产品成立</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rPr>
              <w:t>〖2000〗</w:t>
            </w:r>
            <w:r>
              <w:rPr>
                <w:rFonts w:hint="eastAsia" w:ascii="宋体" w:hAnsi="宋体" w:cs="宋体"/>
                <w:color w:val="000000"/>
                <w:sz w:val="21"/>
                <w:szCs w:val="21"/>
              </w:rPr>
              <w:t>万元，则管理人可宣布本理财计划不成立并在原定理财计划成立日当日通过管理人或销售机构发布不成立信息，投资者购买的理财资金将在原定成立日后2个工作日内划转至投资者指定理财账户，</w:t>
            </w:r>
            <w:r>
              <w:rPr>
                <w:rFonts w:hint="eastAsia" w:ascii="宋体" w:hAnsi="宋体" w:cs="宋体"/>
                <w:b/>
                <w:color w:val="000000"/>
                <w:sz w:val="21"/>
                <w:szCs w:val="21"/>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开放期</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理财计划</w:t>
            </w:r>
            <w:r>
              <w:rPr>
                <w:rFonts w:hint="eastAsia" w:ascii="宋体" w:hAnsi="宋体" w:cs="宋体"/>
                <w:sz w:val="21"/>
                <w:szCs w:val="21"/>
              </w:rPr>
              <w:t>〖每月〗开放一次,</w:t>
            </w:r>
            <w:r>
              <w:rPr>
                <w:rFonts w:hint="eastAsia" w:ascii="宋体" w:hAnsi="宋体" w:cs="宋体"/>
                <w:sz w:val="21"/>
                <w:szCs w:val="21"/>
                <w:lang w:val="en-US" w:eastAsia="zh-CN"/>
              </w:rPr>
              <w:t>A、C份额</w:t>
            </w:r>
            <w:r>
              <w:rPr>
                <w:rFonts w:hint="eastAsia" w:ascii="宋体" w:hAnsi="宋体" w:cs="宋体"/>
                <w:color w:val="000000"/>
                <w:sz w:val="21"/>
                <w:szCs w:val="21"/>
              </w:rPr>
              <w:t>〖开放期为产品确认日前5-7个工作日〗，</w:t>
            </w:r>
            <w:r>
              <w:rPr>
                <w:rFonts w:hint="eastAsia" w:ascii="宋体" w:hAnsi="宋体" w:cs="宋体"/>
                <w:sz w:val="21"/>
                <w:szCs w:val="21"/>
                <w:highlight w:val="none"/>
                <w:lang w:val="en-US" w:eastAsia="zh-CN"/>
              </w:rPr>
              <w:t>B份额</w:t>
            </w:r>
            <w:r>
              <w:rPr>
                <w:rFonts w:hint="eastAsia" w:ascii="宋体" w:hAnsi="宋体" w:cs="宋体"/>
                <w:color w:val="000000"/>
                <w:sz w:val="21"/>
                <w:szCs w:val="21"/>
                <w:highlight w:val="none"/>
              </w:rPr>
              <w:t>〖开放期为产品确认日前</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个工作日〗</w:t>
            </w:r>
            <w:r>
              <w:rPr>
                <w:rFonts w:hint="eastAsia" w:ascii="宋体" w:hAnsi="宋体" w:cs="宋体"/>
                <w:color w:val="000000"/>
                <w:sz w:val="21"/>
                <w:szCs w:val="21"/>
              </w:rPr>
              <w:t>，</w:t>
            </w:r>
            <w:r>
              <w:rPr>
                <w:rFonts w:hint="eastAsia" w:ascii="宋体" w:hAnsi="宋体" w:cs="宋体"/>
                <w:sz w:val="21"/>
                <w:szCs w:val="21"/>
              </w:rPr>
              <w:t>具体开放期将以管理人公告为准。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交易时间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1.本理财计划在每个开放期的开放日工作时间均可进行申购和赎回，申购和赎回申请将在确认日，即开放期后的第</w:t>
            </w:r>
            <w:r>
              <w:rPr>
                <w:rFonts w:hint="eastAsia" w:ascii="宋体" w:hAnsi="宋体" w:cs="宋体"/>
                <w:sz w:val="21"/>
                <w:szCs w:val="21"/>
              </w:rPr>
              <w:t>〖1〗个</w:t>
            </w:r>
            <w:r>
              <w:rPr>
                <w:rFonts w:hint="eastAsia" w:ascii="宋体" w:hAnsi="宋体" w:cs="宋体"/>
                <w:bCs/>
                <w:sz w:val="21"/>
                <w:szCs w:val="21"/>
              </w:rPr>
              <w:t>工作日进行确认。</w:t>
            </w:r>
            <w:r>
              <w:rPr>
                <w:rFonts w:hint="eastAsia" w:ascii="宋体" w:hAnsi="宋体" w:cs="宋体"/>
                <w:color w:val="000000"/>
                <w:sz w:val="21"/>
                <w:szCs w:val="21"/>
              </w:rPr>
              <w:t>确认日如遇非工作日，则顺延至</w:t>
            </w:r>
            <w:r>
              <w:rPr>
                <w:rFonts w:hint="eastAsia" w:ascii="宋体" w:hAnsi="宋体" w:cs="宋体"/>
                <w:sz w:val="21"/>
                <w:szCs w:val="21"/>
              </w:rPr>
              <w:t>〖</w:t>
            </w:r>
            <w:r>
              <w:rPr>
                <w:rFonts w:hint="eastAsia" w:ascii="宋体" w:hAnsi="宋体" w:cs="宋体"/>
                <w:color w:val="000000"/>
                <w:sz w:val="21"/>
                <w:szCs w:val="21"/>
              </w:rPr>
              <w:t>下一工作日</w:t>
            </w:r>
            <w:r>
              <w:rPr>
                <w:rFonts w:hint="eastAsia" w:ascii="宋体" w:hAnsi="宋体" w:cs="宋体"/>
                <w:sz w:val="21"/>
                <w:szCs w:val="21"/>
              </w:rPr>
              <w:t>〗</w:t>
            </w:r>
            <w:r>
              <w:rPr>
                <w:rFonts w:hint="eastAsia" w:ascii="宋体" w:hAnsi="宋体" w:cs="宋体"/>
                <w:color w:val="000000"/>
                <w:sz w:val="21"/>
                <w:szCs w:val="21"/>
              </w:rPr>
              <w:t>。</w:t>
            </w:r>
          </w:p>
          <w:p>
            <w:pPr>
              <w:widowControl/>
              <w:spacing w:line="360" w:lineRule="auto"/>
              <w:contextualSpacing/>
              <w:rPr>
                <w:rFonts w:hint="eastAsia" w:ascii="宋体" w:hAnsi="宋体" w:cs="宋体"/>
                <w:color w:val="000000"/>
                <w:kern w:val="0"/>
                <w:sz w:val="21"/>
                <w:szCs w:val="21"/>
              </w:rPr>
            </w:pPr>
            <w:r>
              <w:rPr>
                <w:rFonts w:hint="eastAsia" w:ascii="宋体" w:hAnsi="宋体" w:cs="宋体"/>
                <w:color w:val="000000"/>
                <w:sz w:val="21"/>
                <w:szCs w:val="21"/>
              </w:rPr>
              <w:t>2.工作时间为每个工作日上午〖9:00〗至下午〖17:00〗。确认日如遇非工作日，则顺延至</w:t>
            </w:r>
            <w:r>
              <w:rPr>
                <w:rFonts w:hint="eastAsia" w:ascii="宋体" w:hAnsi="宋体" w:cs="宋体"/>
                <w:sz w:val="21"/>
                <w:szCs w:val="21"/>
              </w:rPr>
              <w:t>〖</w:t>
            </w:r>
            <w:r>
              <w:rPr>
                <w:rFonts w:hint="eastAsia" w:ascii="宋体" w:hAnsi="宋体" w:cs="宋体"/>
                <w:color w:val="000000"/>
                <w:sz w:val="21"/>
                <w:szCs w:val="21"/>
              </w:rPr>
              <w:t>下一工作日</w:t>
            </w:r>
            <w:r>
              <w:rPr>
                <w:rFonts w:hint="eastAsia" w:ascii="宋体" w:hAnsi="宋体" w:cs="宋体"/>
                <w:sz w:val="21"/>
                <w:szCs w:val="21"/>
              </w:rPr>
              <w:t>〗</w:t>
            </w:r>
            <w:r>
              <w:rPr>
                <w:rFonts w:hint="eastAsia" w:ascii="宋体" w:hAnsi="宋体" w:cs="宋体"/>
                <w:color w:val="000000"/>
                <w:sz w:val="21"/>
                <w:szCs w:val="21"/>
              </w:rPr>
              <w:t>。</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3.认购/开放期内提交的交易申请，在产品成立日/确认日前一日下午17:00之前可以撤单。</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rPr>
              <w:t>4.上述交易安排如有调整，请以管理人公告为准。</w:t>
            </w:r>
          </w:p>
          <w:p>
            <w:pPr>
              <w:widowControl/>
              <w:spacing w:line="360" w:lineRule="auto"/>
              <w:contextualSpacing/>
              <w:rPr>
                <w:rFonts w:ascii="宋体" w:hAnsi="宋体" w:cs="宋体"/>
                <w:bCs/>
                <w:sz w:val="21"/>
                <w:szCs w:val="21"/>
              </w:rPr>
            </w:pPr>
            <w:r>
              <w:rPr>
                <w:rFonts w:hint="eastAsia" w:ascii="宋体" w:hAnsi="宋体" w:cs="宋体"/>
                <w:bCs/>
                <w:sz w:val="21"/>
                <w:szCs w:val="21"/>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巨额赎回</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理财计划存续期内，若理财计划开放日净赎回申请份额超过上一日日终理财计划总份额</w:t>
            </w:r>
            <w:r>
              <w:rPr>
                <w:rFonts w:hint="eastAsia" w:ascii="宋体" w:hAnsi="宋体" w:cs="宋体"/>
                <w:sz w:val="21"/>
                <w:szCs w:val="21"/>
              </w:rPr>
              <w:t>〖</w:t>
            </w:r>
            <w:r>
              <w:rPr>
                <w:rFonts w:hint="eastAsia" w:ascii="宋体" w:hAnsi="宋体" w:cs="宋体"/>
                <w:color w:val="000000"/>
                <w:sz w:val="21"/>
                <w:szCs w:val="21"/>
              </w:rPr>
              <w:t>10%</w:t>
            </w:r>
            <w:r>
              <w:rPr>
                <w:rFonts w:hint="eastAsia" w:ascii="宋体" w:hAnsi="宋体" w:cs="宋体"/>
                <w:sz w:val="21"/>
                <w:szCs w:val="21"/>
              </w:rPr>
              <w:t>〗</w:t>
            </w:r>
            <w:r>
              <w:rPr>
                <w:rFonts w:hint="eastAsia" w:ascii="宋体" w:hAnsi="宋体" w:cs="宋体"/>
                <w:color w:val="000000"/>
                <w:sz w:val="21"/>
                <w:szCs w:val="21"/>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单户限额</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lang w:val="en-US" w:eastAsia="zh-CN"/>
              </w:rPr>
              <w:t>各份额：</w:t>
            </w:r>
            <w:r>
              <w:rPr>
                <w:rFonts w:hint="eastAsia" w:ascii="宋体" w:hAnsi="宋体" w:cs="宋体"/>
                <w:sz w:val="21"/>
                <w:szCs w:val="21"/>
              </w:rPr>
              <w:t>单户最高存续份额为〖1亿份〗。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申购份额</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bCs/>
                <w:sz w:val="21"/>
                <w:szCs w:val="21"/>
              </w:rPr>
              <w:t>申购份额=申购金额/确认日前一日的单位净值。申购</w:t>
            </w:r>
            <w:r>
              <w:rPr>
                <w:rFonts w:hint="eastAsia" w:ascii="宋体" w:hAnsi="宋体" w:cs="宋体"/>
                <w:color w:val="000000"/>
                <w:sz w:val="21"/>
                <w:szCs w:val="21"/>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赎回金额</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赎回金额=赎</w:t>
            </w:r>
            <w:r>
              <w:rPr>
                <w:rFonts w:hint="eastAsia" w:ascii="宋体" w:hAnsi="宋体" w:cs="宋体"/>
                <w:bCs/>
                <w:sz w:val="21"/>
                <w:szCs w:val="21"/>
              </w:rPr>
              <w:t>回份额×确认日前一日的单位净值。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单位净值</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单位净值=理财计划估值日理财计划总净值/理财计划总份额，单位净值</w:t>
            </w:r>
            <w:r>
              <w:rPr>
                <w:rFonts w:hint="eastAsia" w:ascii="宋体" w:hAnsi="宋体" w:cs="宋体"/>
                <w:sz w:val="21"/>
                <w:szCs w:val="21"/>
              </w:rPr>
              <w:t>〖</w:t>
            </w:r>
            <w:r>
              <w:rPr>
                <w:rFonts w:hint="eastAsia" w:ascii="宋体" w:hAnsi="宋体" w:cs="宋体"/>
                <w:color w:val="000000"/>
                <w:sz w:val="21"/>
                <w:szCs w:val="21"/>
              </w:rPr>
              <w:t>保留小数点后四位</w:t>
            </w:r>
            <w:r>
              <w:rPr>
                <w:rFonts w:hint="eastAsia" w:ascii="宋体" w:hAnsi="宋体" w:cs="宋体"/>
                <w:sz w:val="21"/>
                <w:szCs w:val="21"/>
              </w:rPr>
              <w:t>〗，四位后去尾</w:t>
            </w:r>
            <w:r>
              <w:rPr>
                <w:rFonts w:hint="eastAsia" w:ascii="宋体" w:hAnsi="宋体" w:cs="宋体"/>
                <w:color w:val="000000"/>
                <w:sz w:val="21"/>
                <w:szCs w:val="21"/>
              </w:rPr>
              <w:t>。</w:t>
            </w:r>
          </w:p>
          <w:p>
            <w:pPr>
              <w:widowControl/>
              <w:spacing w:line="360" w:lineRule="auto"/>
              <w:contextualSpacing/>
              <w:rPr>
                <w:rFonts w:hint="eastAsia" w:ascii="宋体" w:hAnsi="宋体" w:cs="宋体"/>
                <w:b/>
                <w:color w:val="000000"/>
                <w:sz w:val="21"/>
                <w:szCs w:val="21"/>
              </w:rPr>
            </w:pPr>
            <w:r>
              <w:rPr>
                <w:rFonts w:hint="eastAsia" w:ascii="宋体" w:hAnsi="宋体" w:cs="宋体"/>
                <w:color w:val="000000"/>
                <w:sz w:val="21"/>
                <w:szCs w:val="21"/>
              </w:rPr>
              <w:t>理财计划总净值=理财计划认购总额+理财计划所获总收益-理财计划总费用（包括但不限于固定管理费、托管费、销售服务费、浮动管理费（如有）等）。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资金与收益支付方式</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1.赎回资金确认后，</w:t>
            </w:r>
            <w:r>
              <w:rPr>
                <w:rFonts w:hint="eastAsia" w:ascii="宋体" w:hAnsi="宋体" w:cs="宋体"/>
                <w:color w:val="000000"/>
                <w:sz w:val="21"/>
                <w:szCs w:val="21"/>
                <w:highlight w:val="none"/>
              </w:rPr>
              <w:t>最快</w:t>
            </w:r>
            <w:r>
              <w:rPr>
                <w:rFonts w:hint="eastAsia" w:ascii="宋体" w:hAnsi="宋体" w:cs="宋体"/>
                <w:sz w:val="21"/>
                <w:szCs w:val="21"/>
                <w:highlight w:val="none"/>
                <w:lang w:val="en-US" w:eastAsia="zh-CN"/>
              </w:rPr>
              <w:t>于确认日当</w:t>
            </w:r>
            <w:r>
              <w:rPr>
                <w:rFonts w:hint="eastAsia" w:ascii="宋体" w:hAnsi="宋体" w:cs="宋体"/>
                <w:color w:val="000000"/>
                <w:sz w:val="21"/>
                <w:szCs w:val="21"/>
                <w:highlight w:val="none"/>
              </w:rPr>
              <w:t>日</w:t>
            </w:r>
            <w:r>
              <w:rPr>
                <w:rFonts w:hint="eastAsia" w:ascii="宋体" w:hAnsi="宋体" w:cs="宋体"/>
                <w:color w:val="000000"/>
                <w:sz w:val="21"/>
                <w:szCs w:val="21"/>
              </w:rPr>
              <w:t>，最晚</w:t>
            </w:r>
            <w:r>
              <w:rPr>
                <w:rFonts w:hint="eastAsia" w:ascii="宋体" w:hAnsi="宋体" w:cs="宋体"/>
                <w:sz w:val="21"/>
                <w:szCs w:val="21"/>
              </w:rPr>
              <w:t>〖3〗</w:t>
            </w:r>
            <w:r>
              <w:rPr>
                <w:rFonts w:hint="eastAsia" w:ascii="宋体" w:hAnsi="宋体" w:cs="宋体"/>
                <w:color w:val="000000"/>
                <w:sz w:val="21"/>
                <w:szCs w:val="21"/>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2.理财计划到期后，最快</w:t>
            </w:r>
            <w:r>
              <w:rPr>
                <w:rFonts w:hint="eastAsia" w:ascii="宋体" w:hAnsi="宋体" w:cs="宋体"/>
                <w:sz w:val="21"/>
                <w:szCs w:val="21"/>
              </w:rPr>
              <w:t>〖1〗</w:t>
            </w:r>
            <w:r>
              <w:rPr>
                <w:rFonts w:hint="eastAsia" w:ascii="宋体" w:hAnsi="宋体" w:cs="宋体"/>
                <w:color w:val="000000"/>
                <w:sz w:val="21"/>
                <w:szCs w:val="21"/>
              </w:rPr>
              <w:t>个工作日，最晚</w:t>
            </w:r>
            <w:r>
              <w:rPr>
                <w:rFonts w:hint="eastAsia" w:ascii="宋体" w:hAnsi="宋体" w:cs="宋体"/>
                <w:sz w:val="21"/>
                <w:szCs w:val="21"/>
              </w:rPr>
              <w:t>〖3〗</w:t>
            </w:r>
            <w:r>
              <w:rPr>
                <w:rFonts w:hint="eastAsia" w:ascii="宋体" w:hAnsi="宋体" w:cs="宋体"/>
                <w:color w:val="000000"/>
                <w:sz w:val="21"/>
                <w:szCs w:val="21"/>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收益分配</w:t>
            </w:r>
          </w:p>
        </w:tc>
        <w:tc>
          <w:tcPr>
            <w:tcW w:w="7185" w:type="dxa"/>
            <w:noWrap w:val="0"/>
            <w:vAlign w:val="center"/>
          </w:tcPr>
          <w:p>
            <w:pPr>
              <w:widowControl/>
              <w:spacing w:line="360" w:lineRule="auto"/>
              <w:contextualSpacing/>
              <w:rPr>
                <w:rFonts w:ascii="宋体" w:hAnsi="宋体" w:cs="宋体"/>
                <w:b/>
                <w:sz w:val="21"/>
                <w:szCs w:val="21"/>
              </w:rPr>
            </w:pPr>
            <w:r>
              <w:rPr>
                <w:rFonts w:hint="eastAsia" w:ascii="宋体" w:hAnsi="宋体" w:cs="宋体"/>
                <w:color w:val="000000"/>
                <w:sz w:val="21"/>
                <w:szCs w:val="21"/>
              </w:rPr>
              <w:t>在满足收益分配基准日理财计划份额净值大于1元的情况下，管理人</w:t>
            </w:r>
            <w:r>
              <w:rPr>
                <w:rFonts w:hint="eastAsia" w:ascii="宋体" w:hAnsi="宋体" w:cs="宋体"/>
                <w:sz w:val="21"/>
                <w:szCs w:val="21"/>
              </w:rPr>
              <w:t>〖不</w:t>
            </w:r>
            <w:r>
              <w:rPr>
                <w:rFonts w:hint="eastAsia" w:ascii="宋体" w:hAnsi="宋体" w:cs="宋体"/>
                <w:color w:val="000000"/>
                <w:sz w:val="21"/>
                <w:szCs w:val="21"/>
              </w:rPr>
              <w:t>定期</w:t>
            </w:r>
            <w:r>
              <w:rPr>
                <w:rFonts w:hint="eastAsia" w:ascii="宋体" w:hAnsi="宋体" w:cs="宋体"/>
                <w:sz w:val="21"/>
                <w:szCs w:val="21"/>
              </w:rPr>
              <w:t>〗</w:t>
            </w:r>
            <w:r>
              <w:rPr>
                <w:rFonts w:hint="eastAsia" w:ascii="宋体" w:hAnsi="宋体" w:cs="宋体"/>
                <w:color w:val="000000"/>
                <w:sz w:val="21"/>
                <w:szCs w:val="21"/>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业绩比较基准</w:t>
            </w:r>
          </w:p>
        </w:tc>
        <w:tc>
          <w:tcPr>
            <w:tcW w:w="7185" w:type="dxa"/>
            <w:noWrap w:val="0"/>
            <w:vAlign w:val="center"/>
          </w:tcPr>
          <w:p>
            <w:pPr>
              <w:widowControl/>
              <w:spacing w:line="360" w:lineRule="auto"/>
              <w:contextualSpacing/>
              <w:rPr>
                <w:rFonts w:hint="eastAsia" w:ascii="宋体" w:hAnsi="宋体" w:cs="宋体"/>
                <w:bCs/>
                <w:color w:val="FF0000"/>
                <w:sz w:val="21"/>
                <w:szCs w:val="21"/>
              </w:rPr>
            </w:pPr>
            <w:r>
              <w:rPr>
                <w:rFonts w:hint="eastAsia" w:ascii="宋体" w:hAnsi="宋体" w:cs="宋体"/>
                <w:sz w:val="21"/>
                <w:szCs w:val="21"/>
              </w:rPr>
              <w:t>本理财计划</w:t>
            </w:r>
            <w:r>
              <w:rPr>
                <w:rFonts w:hint="eastAsia" w:ascii="宋体" w:hAnsi="宋体" w:cs="宋体"/>
                <w:sz w:val="21"/>
                <w:szCs w:val="21"/>
                <w:lang w:val="en-US" w:eastAsia="zh-CN"/>
              </w:rPr>
              <w:t>各份额</w:t>
            </w:r>
            <w:r>
              <w:rPr>
                <w:rFonts w:hint="eastAsia" w:ascii="宋体" w:hAnsi="宋体" w:cs="宋体"/>
                <w:sz w:val="21"/>
                <w:szCs w:val="21"/>
              </w:rPr>
              <w:t>业绩比较基准为〖</w:t>
            </w:r>
            <w:r>
              <w:rPr>
                <w:rFonts w:hint="eastAsia" w:ascii="宋体" w:hAnsi="宋体" w:cs="宋体"/>
                <w:color w:val="000000"/>
                <w:sz w:val="21"/>
                <w:szCs w:val="21"/>
                <w:highlight w:val="none"/>
                <w:lang w:val="en-US" w:eastAsia="zh-CN"/>
              </w:rPr>
              <w:t>中国人民银行公布的7天通知存款利率</w:t>
            </w:r>
            <w:r>
              <w:rPr>
                <w:rFonts w:hint="eastAsia" w:ascii="宋体" w:hAnsi="宋体" w:cs="宋体"/>
                <w:sz w:val="21"/>
                <w:szCs w:val="21"/>
              </w:rPr>
              <w:t>〗（年化）。</w:t>
            </w:r>
          </w:p>
          <w:p>
            <w:pPr>
              <w:widowControl/>
              <w:spacing w:line="360" w:lineRule="auto"/>
              <w:jc w:val="left"/>
              <w:rPr>
                <w:rFonts w:hint="eastAsia" w:ascii="宋体" w:hAnsi="宋体" w:cs="宋体"/>
                <w:b/>
                <w:bCs/>
                <w:sz w:val="21"/>
                <w:szCs w:val="21"/>
              </w:rPr>
            </w:pPr>
            <w:r>
              <w:rPr>
                <w:rFonts w:hint="eastAsia" w:ascii="宋体" w:hAnsi="宋体" w:cs="宋体"/>
                <w:b/>
                <w:bCs/>
                <w:sz w:val="21"/>
                <w:szCs w:val="21"/>
              </w:rPr>
              <w:t>业绩基准测算依据：</w:t>
            </w:r>
          </w:p>
          <w:p>
            <w:pPr>
              <w:widowControl/>
              <w:spacing w:line="360" w:lineRule="auto"/>
              <w:jc w:val="left"/>
              <w:rPr>
                <w:rFonts w:ascii="宋体" w:hAnsi="宋体" w:cs="宋体"/>
                <w:b/>
                <w:bCs/>
                <w:sz w:val="21"/>
                <w:szCs w:val="21"/>
              </w:rPr>
            </w:pPr>
            <w:r>
              <w:rPr>
                <w:rFonts w:hint="eastAsia" w:ascii="宋体" w:hAnsi="宋体" w:cs="宋体"/>
                <w:b/>
                <w:bCs/>
                <w:sz w:val="21"/>
                <w:szCs w:val="21"/>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widowControl/>
              <w:spacing w:line="360" w:lineRule="auto"/>
              <w:jc w:val="left"/>
              <w:rPr>
                <w:rFonts w:hint="eastAsia" w:ascii="宋体" w:hAnsi="宋体" w:cs="宋体"/>
                <w:b/>
                <w:bCs/>
                <w:sz w:val="21"/>
                <w:szCs w:val="21"/>
              </w:rPr>
            </w:pPr>
            <w:r>
              <w:rPr>
                <w:rFonts w:hint="eastAsia" w:ascii="宋体" w:hAnsi="宋体" w:cs="宋体"/>
                <w:sz w:val="21"/>
                <w:szCs w:val="21"/>
              </w:rPr>
              <w:t>管理人有权根据市场情况及理财计划运作情况调整业绩基准，并至少于新业绩基准启用前</w:t>
            </w:r>
            <w:r>
              <w:rPr>
                <w:rFonts w:hint="eastAsia" w:ascii="宋体" w:hAnsi="宋体" w:cs="宋体"/>
                <w:kern w:val="0"/>
                <w:sz w:val="21"/>
                <w:szCs w:val="21"/>
              </w:rPr>
              <w:t>〖3〗</w:t>
            </w:r>
            <w:r>
              <w:rPr>
                <w:rFonts w:hint="eastAsia" w:ascii="宋体" w:hAnsi="宋体" w:cs="宋体"/>
                <w:sz w:val="21"/>
                <w:szCs w:val="21"/>
              </w:rPr>
              <w:t>个工作日公告。</w:t>
            </w:r>
          </w:p>
          <w:p>
            <w:pPr>
              <w:widowControl/>
              <w:spacing w:line="360" w:lineRule="auto"/>
              <w:contextualSpacing/>
              <w:rPr>
                <w:rFonts w:hint="eastAsia" w:ascii="宋体" w:hAnsi="宋体" w:cs="宋体"/>
                <w:color w:val="000000"/>
                <w:sz w:val="21"/>
                <w:szCs w:val="21"/>
              </w:rPr>
            </w:pPr>
            <w:r>
              <w:rPr>
                <w:rFonts w:hint="eastAsia" w:ascii="宋体" w:hAnsi="宋体" w:cs="宋体"/>
                <w:b/>
                <w:sz w:val="21"/>
                <w:szCs w:val="21"/>
              </w:rPr>
              <w:t>本理财计划为净值型理财产品，其业绩表现将随市场波动具有不确定性。本理财计划业绩比较基准由管理人根据投资范围及投资策略，结合市场环境因素进行测算而得出。业绩比较基准是管理人基于理财计划收益风险特征、投资策略、过往经验等因素对理财计划业绩设定的投资目标。本公司提醒投资者关注，业绩比较基准</w:t>
            </w:r>
            <w:r>
              <w:rPr>
                <w:rFonts w:hint="eastAsia" w:ascii="宋体" w:hAnsi="宋体" w:cs="宋体"/>
                <w:b/>
                <w:sz w:val="21"/>
                <w:szCs w:val="21"/>
                <w:lang w:eastAsia="zh-CN"/>
              </w:rPr>
              <w:t>不是预期收益率，</w:t>
            </w:r>
            <w:r>
              <w:rPr>
                <w:rFonts w:hint="eastAsia" w:ascii="宋体" w:hAnsi="宋体" w:cs="宋体"/>
                <w:b/>
                <w:sz w:val="21"/>
                <w:szCs w:val="21"/>
              </w:rPr>
              <w:t>并不代表理财计划的未来表现和实际收益率，不构成对理财计划收益的承诺。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产品费用</w:t>
            </w:r>
          </w:p>
        </w:tc>
        <w:tc>
          <w:tcPr>
            <w:tcW w:w="7185" w:type="dxa"/>
            <w:noWrap w:val="0"/>
            <w:vAlign w:val="center"/>
          </w:tcPr>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1.销售服务费：</w:t>
            </w:r>
            <w:r>
              <w:rPr>
                <w:rFonts w:hint="eastAsia" w:ascii="宋体" w:hAnsi="宋体" w:cs="宋体"/>
                <w:sz w:val="21"/>
                <w:szCs w:val="21"/>
                <w:highlight w:val="none"/>
              </w:rPr>
              <w:t>〖</w:t>
            </w:r>
            <w:r>
              <w:rPr>
                <w:rFonts w:hint="eastAsia" w:ascii="宋体" w:hAnsi="宋体" w:cs="宋体"/>
                <w:sz w:val="21"/>
                <w:szCs w:val="21"/>
                <w:highlight w:val="none"/>
                <w:lang w:val="en-US" w:eastAsia="zh-CN"/>
              </w:rPr>
              <w:t>A份额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w:t>
            </w:r>
            <w:r>
              <w:rPr>
                <w:rFonts w:hint="eastAsia" w:ascii="宋体" w:hAnsi="宋体" w:cs="宋体"/>
                <w:sz w:val="21"/>
                <w:szCs w:val="21"/>
                <w:lang w:val="en-US" w:eastAsia="zh-CN"/>
              </w:rPr>
              <w:t>3</w:t>
            </w:r>
            <w:r>
              <w:rPr>
                <w:rFonts w:hint="eastAsia" w:ascii="宋体" w:hAnsi="宋体" w:cs="宋体"/>
                <w:sz w:val="21"/>
                <w:szCs w:val="21"/>
              </w:rPr>
              <w:t>0%〗</w:t>
            </w:r>
            <w:r>
              <w:rPr>
                <w:rFonts w:hint="eastAsia" w:ascii="宋体" w:hAnsi="宋体" w:cs="宋体"/>
                <w:color w:val="000000"/>
                <w:sz w:val="21"/>
                <w:szCs w:val="21"/>
              </w:rPr>
              <w:t>的销售服务费</w:t>
            </w:r>
            <w:r>
              <w:rPr>
                <w:rFonts w:hint="eastAsia" w:ascii="宋体" w:hAnsi="宋体" w:cs="宋体"/>
                <w:color w:val="000000"/>
                <w:sz w:val="21"/>
                <w:szCs w:val="21"/>
                <w:lang w:eastAsia="zh-CN"/>
              </w:rPr>
              <w:t>，</w:t>
            </w:r>
            <w:r>
              <w:rPr>
                <w:rFonts w:hint="eastAsia" w:ascii="宋体" w:hAnsi="宋体" w:cs="宋体"/>
                <w:sz w:val="21"/>
                <w:szCs w:val="21"/>
                <w:highlight w:val="none"/>
                <w:lang w:val="en-US" w:eastAsia="zh-CN"/>
              </w:rPr>
              <w:t>B份额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〖0.</w:t>
            </w:r>
            <w:r>
              <w:rPr>
                <w:rFonts w:hint="eastAsia" w:ascii="宋体" w:hAnsi="宋体" w:cs="宋体"/>
                <w:sz w:val="21"/>
                <w:szCs w:val="21"/>
                <w:highlight w:val="none"/>
                <w:lang w:val="en-US" w:eastAsia="zh-CN"/>
              </w:rPr>
              <w:t>3</w:t>
            </w:r>
            <w:r>
              <w:rPr>
                <w:rFonts w:hint="eastAsia" w:ascii="宋体" w:hAnsi="宋体" w:cs="宋体"/>
                <w:sz w:val="21"/>
                <w:szCs w:val="21"/>
                <w:highlight w:val="none"/>
              </w:rPr>
              <w:t>0%〗</w:t>
            </w:r>
            <w:r>
              <w:rPr>
                <w:rFonts w:hint="eastAsia" w:ascii="宋体" w:hAnsi="宋体" w:cs="宋体"/>
                <w:color w:val="000000"/>
                <w:sz w:val="21"/>
                <w:szCs w:val="21"/>
                <w:highlight w:val="none"/>
              </w:rPr>
              <w:t>的销售服务费</w:t>
            </w:r>
            <w:r>
              <w:rPr>
                <w:rFonts w:hint="eastAsia" w:ascii="宋体" w:hAnsi="宋体" w:cs="宋体"/>
                <w:color w:val="000000"/>
                <w:sz w:val="21"/>
                <w:szCs w:val="21"/>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C份额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rPr>
              <w:t>。</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2.托管费：收取年化</w:t>
            </w:r>
            <w:r>
              <w:rPr>
                <w:rFonts w:hint="eastAsia" w:ascii="宋体" w:hAnsi="宋体" w:cs="宋体"/>
                <w:sz w:val="21"/>
                <w:szCs w:val="21"/>
              </w:rPr>
              <w:t>〖0.025%〗</w:t>
            </w:r>
            <w:r>
              <w:rPr>
                <w:rFonts w:hint="eastAsia" w:ascii="宋体" w:hAnsi="宋体" w:cs="宋体"/>
                <w:color w:val="000000"/>
                <w:sz w:val="21"/>
                <w:szCs w:val="21"/>
              </w:rPr>
              <w:t>的托管费。</w:t>
            </w:r>
          </w:p>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3.固定管理费：</w:t>
            </w:r>
            <w:r>
              <w:rPr>
                <w:rFonts w:hint="eastAsia" w:ascii="宋体" w:hAnsi="宋体" w:cs="宋体"/>
                <w:sz w:val="21"/>
                <w:szCs w:val="21"/>
                <w:highlight w:val="none"/>
              </w:rPr>
              <w:t>〖</w:t>
            </w:r>
            <w:r>
              <w:rPr>
                <w:rFonts w:hint="eastAsia" w:ascii="宋体" w:hAnsi="宋体" w:cs="宋体"/>
                <w:sz w:val="21"/>
                <w:szCs w:val="21"/>
                <w:highlight w:val="none"/>
                <w:lang w:val="en-US" w:eastAsia="zh-CN"/>
              </w:rPr>
              <w:t>A份额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w:t>
            </w:r>
            <w:r>
              <w:rPr>
                <w:rFonts w:hint="eastAsia" w:ascii="宋体" w:hAnsi="宋体" w:cs="宋体"/>
                <w:sz w:val="21"/>
                <w:szCs w:val="21"/>
                <w:lang w:val="en-US" w:eastAsia="zh-CN"/>
              </w:rPr>
              <w:t>2</w:t>
            </w:r>
            <w:r>
              <w:rPr>
                <w:rFonts w:hint="eastAsia" w:ascii="宋体" w:hAnsi="宋体" w:cs="宋体"/>
                <w:sz w:val="21"/>
                <w:szCs w:val="21"/>
              </w:rPr>
              <w:t>0%〗</w:t>
            </w:r>
            <w:r>
              <w:rPr>
                <w:rFonts w:hint="eastAsia" w:ascii="宋体" w:hAnsi="宋体" w:cs="宋体"/>
                <w:color w:val="000000"/>
                <w:sz w:val="21"/>
                <w:szCs w:val="21"/>
              </w:rPr>
              <w:t>的固定管理费</w:t>
            </w:r>
            <w:r>
              <w:rPr>
                <w:rFonts w:hint="eastAsia" w:ascii="宋体" w:hAnsi="宋体" w:cs="宋体"/>
                <w:color w:val="000000"/>
                <w:sz w:val="21"/>
                <w:szCs w:val="21"/>
                <w:lang w:eastAsia="zh-CN"/>
              </w:rPr>
              <w:t>，</w:t>
            </w:r>
            <w:r>
              <w:rPr>
                <w:rFonts w:hint="eastAsia" w:ascii="宋体" w:hAnsi="宋体" w:cs="宋体"/>
                <w:sz w:val="21"/>
                <w:szCs w:val="21"/>
                <w:highlight w:val="none"/>
                <w:lang w:val="en-US" w:eastAsia="zh-CN"/>
              </w:rPr>
              <w:t>B份额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〖0.</w:t>
            </w:r>
            <w:r>
              <w:rPr>
                <w:rFonts w:hint="eastAsia" w:ascii="宋体" w:hAnsi="宋体" w:cs="宋体"/>
                <w:sz w:val="21"/>
                <w:szCs w:val="21"/>
                <w:highlight w:val="none"/>
                <w:lang w:val="en-US" w:eastAsia="zh-CN"/>
              </w:rPr>
              <w:t>2</w:t>
            </w:r>
            <w:r>
              <w:rPr>
                <w:rFonts w:hint="eastAsia" w:ascii="宋体" w:hAnsi="宋体" w:cs="宋体"/>
                <w:sz w:val="21"/>
                <w:szCs w:val="21"/>
                <w:highlight w:val="none"/>
              </w:rPr>
              <w:t>0%〗</w:t>
            </w:r>
            <w:r>
              <w:rPr>
                <w:rFonts w:hint="eastAsia" w:ascii="宋体" w:hAnsi="宋体" w:cs="宋体"/>
                <w:color w:val="000000"/>
                <w:sz w:val="21"/>
                <w:szCs w:val="21"/>
                <w:highlight w:val="none"/>
              </w:rPr>
              <w:t>的固定管理费</w:t>
            </w:r>
            <w:r>
              <w:rPr>
                <w:rFonts w:hint="eastAsia" w:ascii="宋体" w:hAnsi="宋体" w:cs="宋体"/>
                <w:color w:val="000000"/>
                <w:sz w:val="21"/>
                <w:szCs w:val="21"/>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C份额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〖0.30%〗</w:t>
            </w:r>
            <w:r>
              <w:rPr>
                <w:rFonts w:hint="eastAsia" w:ascii="宋体" w:hAnsi="宋体" w:cs="宋体"/>
                <w:color w:val="000000"/>
                <w:sz w:val="21"/>
                <w:szCs w:val="21"/>
              </w:rPr>
              <w:t>的固定管理费。</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4.认购费：本理财计划免除认购费。</w:t>
            </w:r>
          </w:p>
          <w:p>
            <w:pPr>
              <w:widowControl/>
              <w:spacing w:line="360" w:lineRule="auto"/>
              <w:contextualSpacing/>
              <w:rPr>
                <w:rFonts w:hint="eastAsia" w:ascii="宋体" w:hAnsi="宋体" w:cs="宋体"/>
                <w:color w:val="000000"/>
                <w:sz w:val="21"/>
                <w:szCs w:val="21"/>
              </w:rPr>
            </w:pPr>
            <w:r>
              <w:rPr>
                <w:rFonts w:hint="eastAsia" w:ascii="宋体" w:hAnsi="宋体" w:cs="宋体"/>
                <w:bCs/>
                <w:sz w:val="21"/>
                <w:szCs w:val="21"/>
              </w:rPr>
              <w:t>5.申购费：</w:t>
            </w:r>
            <w:r>
              <w:rPr>
                <w:rFonts w:hint="eastAsia" w:ascii="宋体" w:hAnsi="宋体" w:cs="宋体"/>
                <w:color w:val="000000"/>
                <w:sz w:val="21"/>
                <w:szCs w:val="21"/>
              </w:rPr>
              <w:t>本理财计划免除申购费。</w:t>
            </w:r>
          </w:p>
          <w:p>
            <w:pPr>
              <w:widowControl/>
              <w:spacing w:line="360" w:lineRule="auto"/>
              <w:contextualSpacing/>
              <w:rPr>
                <w:rFonts w:ascii="宋体" w:hAnsi="宋体" w:cs="宋体"/>
                <w:bCs/>
                <w:sz w:val="21"/>
                <w:szCs w:val="21"/>
              </w:rPr>
            </w:pPr>
            <w:r>
              <w:rPr>
                <w:rFonts w:hint="eastAsia" w:ascii="宋体" w:hAnsi="宋体" w:cs="宋体"/>
                <w:bCs/>
                <w:sz w:val="21"/>
                <w:szCs w:val="21"/>
              </w:rPr>
              <w:t>6.赎回费：</w:t>
            </w:r>
            <w:r>
              <w:rPr>
                <w:rFonts w:hint="eastAsia" w:ascii="宋体" w:hAnsi="宋体" w:cs="宋体"/>
                <w:color w:val="000000"/>
                <w:sz w:val="21"/>
                <w:szCs w:val="21"/>
              </w:rPr>
              <w:t>本理财计划免除赎回费。</w:t>
            </w:r>
          </w:p>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7.浮动管理费。本理财计划免除浮动管理费。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提前终止</w:t>
            </w:r>
          </w:p>
        </w:tc>
        <w:tc>
          <w:tcPr>
            <w:tcW w:w="7185" w:type="dxa"/>
            <w:noWrap w:val="0"/>
            <w:vAlign w:val="center"/>
          </w:tcPr>
          <w:p>
            <w:pPr>
              <w:widowControl/>
              <w:spacing w:line="360" w:lineRule="auto"/>
              <w:contextualSpacing/>
              <w:rPr>
                <w:rFonts w:hint="eastAsia" w:ascii="宋体" w:hAnsi="宋体" w:cs="宋体"/>
                <w:b/>
                <w:color w:val="000000"/>
                <w:kern w:val="0"/>
                <w:sz w:val="21"/>
                <w:szCs w:val="21"/>
              </w:rPr>
            </w:pPr>
            <w:r>
              <w:rPr>
                <w:rFonts w:hint="eastAsia" w:ascii="宋体" w:hAnsi="宋体" w:cs="宋体"/>
                <w:b/>
                <w:color w:val="000000"/>
                <w:kern w:val="0"/>
                <w:sz w:val="21"/>
                <w:szCs w:val="21"/>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税费规定</w:t>
            </w:r>
          </w:p>
        </w:tc>
        <w:tc>
          <w:tcPr>
            <w:tcW w:w="7185" w:type="dxa"/>
            <w:noWrap w:val="0"/>
            <w:vAlign w:val="center"/>
          </w:tcPr>
          <w:p>
            <w:pPr>
              <w:spacing w:line="360" w:lineRule="auto"/>
              <w:outlineLvl w:val="0"/>
              <w:rPr>
                <w:rFonts w:hint="eastAsia" w:ascii="宋体" w:hAnsi="宋体" w:cs="宋体"/>
                <w:color w:val="000000"/>
                <w:sz w:val="21"/>
                <w:szCs w:val="21"/>
              </w:rPr>
            </w:pPr>
            <w:r>
              <w:rPr>
                <w:rFonts w:hint="eastAsia" w:ascii="宋体" w:hAnsi="宋体" w:cs="宋体"/>
                <w:color w:val="000000"/>
                <w:sz w:val="21"/>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kern w:val="0"/>
                <w:sz w:val="21"/>
                <w:szCs w:val="21"/>
              </w:rPr>
            </w:pPr>
            <w:r>
              <w:rPr>
                <w:rFonts w:hint="eastAsia" w:ascii="宋体" w:hAnsi="宋体" w:cs="宋体"/>
                <w:color w:val="000000"/>
                <w:sz w:val="21"/>
                <w:szCs w:val="21"/>
              </w:rPr>
              <w:t>融资服务</w:t>
            </w:r>
          </w:p>
        </w:tc>
        <w:tc>
          <w:tcPr>
            <w:tcW w:w="7185" w:type="dxa"/>
            <w:noWrap w:val="0"/>
            <w:vAlign w:val="bottom"/>
          </w:tcPr>
          <w:p>
            <w:pPr>
              <w:spacing w:line="360" w:lineRule="auto"/>
              <w:rPr>
                <w:rFonts w:hint="eastAsia" w:ascii="宋体" w:hAnsi="宋体" w:cs="宋体"/>
                <w:b/>
                <w:color w:val="000000"/>
                <w:kern w:val="0"/>
                <w:sz w:val="21"/>
                <w:szCs w:val="21"/>
              </w:rPr>
            </w:pPr>
            <w:r>
              <w:rPr>
                <w:rFonts w:hint="eastAsia" w:ascii="宋体" w:hAnsi="宋体" w:cs="宋体"/>
                <w:b/>
                <w:color w:val="000000"/>
                <w:kern w:val="0"/>
                <w:sz w:val="21"/>
                <w:szCs w:val="21"/>
              </w:rPr>
              <w:t>投资者在理财期限内不能提前赎回，如需质押按销售机构相关规定执行。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kern w:val="0"/>
                <w:sz w:val="21"/>
                <w:szCs w:val="21"/>
              </w:rPr>
            </w:pPr>
            <w:r>
              <w:rPr>
                <w:rFonts w:hint="eastAsia" w:ascii="宋体" w:hAnsi="宋体" w:cs="宋体"/>
                <w:color w:val="000000"/>
                <w:sz w:val="21"/>
                <w:szCs w:val="21"/>
              </w:rPr>
              <w:t>认购期内按照活期存款利率计息，认购期内的利息不计入认购本金份额。到期日（或理财计划实际终止日）到理财资金返还到账日为还本清算期，还本清算期内不计付利息。</w:t>
            </w:r>
            <w:r>
              <w:rPr>
                <w:rFonts w:hint="eastAsia" w:ascii="宋体" w:hAnsi="宋体" w:cs="宋体"/>
                <w:color w:val="000000"/>
                <w:kern w:val="0"/>
                <w:sz w:val="21"/>
                <w:szCs w:val="21"/>
              </w:rPr>
              <w:t>（具体以销售机构规定为准）</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rPr>
      </w:pPr>
      <w:r>
        <w:rPr>
          <w:rFonts w:hint="eastAsia" w:ascii="宋体" w:hAnsi="宋体"/>
          <w:b/>
          <w:color w:val="000000"/>
        </w:rPr>
        <w:t>特别说明：</w:t>
      </w:r>
      <w:r>
        <w:rPr>
          <w:rFonts w:hint="eastAsia" w:ascii="宋体" w:hAnsi="宋体" w:cs="宋体"/>
          <w:b/>
          <w:color w:val="000000"/>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rPr>
      </w:pPr>
    </w:p>
    <w:p>
      <w:pPr>
        <w:numPr>
          <w:ilvl w:val="0"/>
          <w:numId w:val="19"/>
        </w:numPr>
        <w:spacing w:line="360" w:lineRule="auto"/>
        <w:ind w:firstLine="482" w:firstLineChars="200"/>
        <w:outlineLvl w:val="1"/>
        <w:rPr>
          <w:rFonts w:hint="eastAsia" w:ascii="宋体" w:hAnsi="宋体" w:cs="宋体"/>
          <w:b/>
          <w:color w:val="000000"/>
        </w:rPr>
      </w:pPr>
      <w:r>
        <w:rPr>
          <w:rFonts w:hint="eastAsia" w:ascii="宋体" w:hAnsi="宋体" w:cs="宋体"/>
          <w:b/>
          <w:color w:val="000000"/>
        </w:rPr>
        <w:t>投资管理</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投资范围</w:t>
      </w:r>
    </w:p>
    <w:p>
      <w:pPr>
        <w:spacing w:line="360" w:lineRule="auto"/>
        <w:ind w:firstLine="480" w:firstLineChars="200"/>
        <w:jc w:val="left"/>
        <w:rPr>
          <w:rFonts w:hint="eastAsia" w:ascii="宋体" w:hAnsi="宋体" w:cs="宋体"/>
          <w:bCs/>
        </w:rPr>
      </w:pPr>
      <w:r>
        <w:rPr>
          <w:rFonts w:hint="eastAsia" w:ascii="宋体" w:hAnsi="宋体" w:cs="宋体"/>
          <w:bCs/>
        </w:rPr>
        <w:t>本理财计划主要投资于符合监管要求的各类资产：</w:t>
      </w:r>
    </w:p>
    <w:p>
      <w:pPr>
        <w:numPr>
          <w:ilvl w:val="0"/>
          <w:numId w:val="21"/>
        </w:numPr>
        <w:spacing w:line="360" w:lineRule="auto"/>
        <w:ind w:firstLine="480" w:firstLineChars="200"/>
        <w:jc w:val="left"/>
        <w:rPr>
          <w:rFonts w:ascii="宋体" w:hAnsi="宋体" w:cs="宋体"/>
          <w:bCs/>
        </w:rPr>
      </w:pPr>
      <w:r>
        <w:rPr>
          <w:rFonts w:hint="eastAsia" w:ascii="宋体" w:hAnsi="宋体" w:cs="宋体"/>
          <w:bCs/>
        </w:rPr>
        <w:t>固定收益类资产：包括但不限于各类债券、存款、货币市场金融工具、债券基金、质押式及买断式回购，其他符合监管要求的固定收益类资产及资产管理产品。</w:t>
      </w:r>
    </w:p>
    <w:p>
      <w:pPr>
        <w:numPr>
          <w:ilvl w:val="0"/>
          <w:numId w:val="21"/>
        </w:numPr>
        <w:spacing w:line="360" w:lineRule="auto"/>
        <w:ind w:firstLine="480" w:firstLineChars="200"/>
        <w:jc w:val="left"/>
        <w:rPr>
          <w:rFonts w:ascii="宋体" w:hAnsi="宋体" w:cs="宋体"/>
          <w:bCs/>
        </w:rPr>
      </w:pPr>
      <w:r>
        <w:rPr>
          <w:rFonts w:hint="eastAsia" w:ascii="宋体" w:hAnsi="宋体" w:cs="宋体"/>
          <w:bCs/>
        </w:rPr>
        <w:t>权益类资产：包括国内发行上市优先股以及其他符合监管要求的权益类资产（不包括未上市企业股权）。</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投资比例</w:t>
      </w:r>
    </w:p>
    <w:p>
      <w:pPr>
        <w:spacing w:line="360" w:lineRule="auto"/>
        <w:ind w:firstLine="480" w:firstLineChars="200"/>
        <w:jc w:val="left"/>
        <w:rPr>
          <w:rFonts w:hint="eastAsia" w:ascii="宋体" w:hAnsi="宋体" w:cs="宋体"/>
          <w:bCs/>
        </w:rPr>
      </w:pPr>
      <w:r>
        <w:rPr>
          <w:rFonts w:hint="eastAsia" w:ascii="宋体" w:hAnsi="宋体" w:cs="宋体"/>
          <w:bCs/>
        </w:rPr>
        <w:t>本理财计划各投资资产占</w:t>
      </w:r>
      <w:r>
        <w:rPr>
          <w:rFonts w:hint="eastAsia" w:ascii="宋体" w:hAnsi="宋体" w:cs="宋体"/>
          <w:bCs/>
          <w:lang w:val="en-US" w:eastAsia="zh-CN"/>
        </w:rPr>
        <w:t>总</w:t>
      </w:r>
      <w:r>
        <w:rPr>
          <w:rFonts w:hint="eastAsia" w:ascii="宋体" w:hAnsi="宋体" w:cs="宋体"/>
          <w:bCs/>
        </w:rPr>
        <w:t>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86" w:type="dxa"/>
            <w:noWrap w:val="0"/>
            <w:vAlign w:val="top"/>
          </w:tcPr>
          <w:p>
            <w:pPr>
              <w:spacing w:line="360" w:lineRule="auto"/>
              <w:rPr>
                <w:rFonts w:ascii="宋体" w:hAnsi="宋体" w:cs="宋体"/>
                <w:bCs/>
                <w:szCs w:val="21"/>
              </w:rPr>
            </w:pPr>
          </w:p>
        </w:tc>
        <w:tc>
          <w:tcPr>
            <w:tcW w:w="4740" w:type="dxa"/>
            <w:noWrap w:val="0"/>
            <w:vAlign w:val="top"/>
          </w:tcPr>
          <w:p>
            <w:pPr>
              <w:spacing w:line="360" w:lineRule="auto"/>
              <w:jc w:val="center"/>
              <w:rPr>
                <w:rFonts w:ascii="宋体" w:hAnsi="宋体" w:cs="宋体"/>
                <w:bCs/>
                <w:szCs w:val="21"/>
              </w:rPr>
            </w:pPr>
            <w:r>
              <w:rPr>
                <w:rFonts w:hint="eastAsia" w:ascii="宋体" w:hAnsi="宋体" w:cs="宋体"/>
                <w:bCs/>
                <w:szCs w:val="21"/>
              </w:rPr>
              <w:t>投资资产</w:t>
            </w:r>
          </w:p>
        </w:tc>
        <w:tc>
          <w:tcPr>
            <w:tcW w:w="1996" w:type="dxa"/>
            <w:noWrap w:val="0"/>
            <w:vAlign w:val="top"/>
          </w:tcPr>
          <w:p>
            <w:pPr>
              <w:spacing w:line="360" w:lineRule="auto"/>
              <w:jc w:val="center"/>
              <w:rPr>
                <w:rFonts w:ascii="宋体" w:hAnsi="宋体" w:cs="宋体"/>
                <w:bCs/>
                <w:szCs w:val="21"/>
              </w:rPr>
            </w:pPr>
            <w:r>
              <w:rPr>
                <w:rFonts w:hint="eastAsia" w:ascii="宋体" w:hAnsi="宋体" w:cs="宋体"/>
                <w:bCs/>
                <w:szCs w:val="21"/>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szCs w:val="21"/>
              </w:rPr>
            </w:pPr>
            <w:r>
              <w:rPr>
                <w:rFonts w:hint="eastAsia" w:ascii="宋体" w:hAnsi="宋体" w:cs="宋体"/>
                <w:bCs/>
                <w:szCs w:val="21"/>
              </w:rPr>
              <w:t>大类资产类型</w:t>
            </w:r>
          </w:p>
        </w:tc>
        <w:tc>
          <w:tcPr>
            <w:tcW w:w="4740" w:type="dxa"/>
            <w:noWrap w:val="0"/>
            <w:vAlign w:val="top"/>
          </w:tcPr>
          <w:p>
            <w:pPr>
              <w:spacing w:line="360" w:lineRule="auto"/>
              <w:jc w:val="center"/>
              <w:rPr>
                <w:rFonts w:ascii="宋体" w:hAnsi="宋体" w:cs="宋体"/>
                <w:bCs/>
                <w:szCs w:val="21"/>
              </w:rPr>
            </w:pPr>
            <w:r>
              <w:rPr>
                <w:rFonts w:hint="eastAsia" w:ascii="宋体" w:hAnsi="宋体" w:cs="宋体"/>
                <w:bCs/>
                <w:szCs w:val="21"/>
              </w:rPr>
              <w:t>固定收益类资产</w:t>
            </w:r>
          </w:p>
        </w:tc>
        <w:tc>
          <w:tcPr>
            <w:tcW w:w="1996" w:type="dxa"/>
            <w:noWrap w:val="0"/>
            <w:vAlign w:val="center"/>
          </w:tcPr>
          <w:p>
            <w:pPr>
              <w:spacing w:line="360" w:lineRule="auto"/>
              <w:jc w:val="center"/>
              <w:rPr>
                <w:rFonts w:ascii="宋体" w:hAnsi="宋体" w:cs="宋体"/>
                <w:bCs/>
                <w:szCs w:val="21"/>
              </w:rPr>
            </w:pPr>
            <w:r>
              <w:rPr>
                <w:rFonts w:hint="eastAsia" w:ascii="宋体" w:hAnsi="宋体" w:cs="宋体"/>
                <w:bCs/>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szCs w:val="21"/>
              </w:rPr>
            </w:pPr>
          </w:p>
        </w:tc>
        <w:tc>
          <w:tcPr>
            <w:tcW w:w="4740" w:type="dxa"/>
            <w:noWrap w:val="0"/>
            <w:vAlign w:val="top"/>
          </w:tcPr>
          <w:p>
            <w:pPr>
              <w:spacing w:line="360" w:lineRule="auto"/>
              <w:jc w:val="center"/>
              <w:rPr>
                <w:rFonts w:ascii="宋体" w:hAnsi="宋体" w:cs="宋体"/>
                <w:bCs/>
                <w:szCs w:val="21"/>
              </w:rPr>
            </w:pPr>
            <w:r>
              <w:rPr>
                <w:rFonts w:hint="eastAsia" w:ascii="宋体" w:hAnsi="宋体" w:cs="宋体"/>
                <w:bCs/>
                <w:szCs w:val="21"/>
              </w:rPr>
              <w:t>权益类资产</w:t>
            </w:r>
          </w:p>
        </w:tc>
        <w:tc>
          <w:tcPr>
            <w:tcW w:w="1996" w:type="dxa"/>
            <w:noWrap w:val="0"/>
            <w:vAlign w:val="center"/>
          </w:tcPr>
          <w:p>
            <w:pPr>
              <w:spacing w:line="360" w:lineRule="auto"/>
              <w:jc w:val="center"/>
              <w:rPr>
                <w:rFonts w:ascii="宋体" w:hAnsi="宋体" w:cs="宋体"/>
                <w:bCs/>
                <w:szCs w:val="21"/>
              </w:rPr>
            </w:pPr>
            <w:r>
              <w:rPr>
                <w:rFonts w:hint="eastAsia" w:ascii="宋体" w:hAnsi="宋体" w:cs="宋体"/>
                <w:bCs/>
                <w:szCs w:val="21"/>
              </w:rPr>
              <w:t>0%-20%</w:t>
            </w:r>
          </w:p>
        </w:tc>
      </w:tr>
    </w:tbl>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投资策略</w:t>
      </w:r>
    </w:p>
    <w:p>
      <w:pPr>
        <w:pStyle w:val="17"/>
        <w:spacing w:line="360" w:lineRule="auto"/>
        <w:ind w:firstLine="480" w:firstLineChars="200"/>
        <w:rPr>
          <w:rFonts w:hint="eastAsia" w:ascii="宋体" w:hAnsi="宋体" w:cs="宋体"/>
          <w:b/>
        </w:rPr>
      </w:pPr>
      <w:r>
        <w:rPr>
          <w:rFonts w:hint="eastAsia" w:ascii="宋体" w:cs="宋体"/>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rPr>
        <w:t>本产品还可能根据市场行情，在监管政策允许的范围内，在适当的时机投资不高于理财产品总资产的20%的资金于其他资产。</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投资限制</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投资集中度限制</w:t>
      </w:r>
    </w:p>
    <w:p>
      <w:pPr>
        <w:numPr>
          <w:ilvl w:val="0"/>
          <w:numId w:val="23"/>
        </w:numPr>
        <w:spacing w:line="360" w:lineRule="auto"/>
        <w:ind w:firstLine="480" w:firstLineChars="200"/>
        <w:jc w:val="left"/>
        <w:rPr>
          <w:rFonts w:hint="eastAsia" w:ascii="宋体" w:hAnsi="宋体" w:cs="宋体"/>
          <w:bCs/>
        </w:rPr>
      </w:pPr>
      <w:r>
        <w:rPr>
          <w:rFonts w:hint="eastAsia" w:ascii="宋体" w:hAnsi="宋体" w:cs="宋体"/>
          <w:bCs/>
          <w:color w:val="000000"/>
        </w:rPr>
        <w:t>本理</w:t>
      </w:r>
      <w:r>
        <w:rPr>
          <w:rFonts w:hint="eastAsia" w:ascii="宋体" w:hAnsi="宋体" w:cs="宋体"/>
          <w:bCs/>
        </w:rPr>
        <w:t>财计划持有单只证券或单只公募</w:t>
      </w:r>
      <w:r>
        <w:rPr>
          <w:rFonts w:ascii="宋体" w:hAnsi="宋体" w:cs="宋体"/>
          <w:bCs/>
        </w:rPr>
        <w:fldChar w:fldCharType="begin"/>
      </w:r>
      <w:r>
        <w:rPr>
          <w:rFonts w:ascii="宋体" w:hAnsi="宋体" w:cs="宋体"/>
          <w:bCs/>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rPr>
        <w:fldChar w:fldCharType="separate"/>
      </w:r>
      <w:r>
        <w:rPr>
          <w:rFonts w:ascii="宋体" w:hAnsi="宋体" w:cs="宋体"/>
          <w:bCs/>
        </w:rPr>
        <w:t>证券投资基金</w:t>
      </w:r>
      <w:r>
        <w:rPr>
          <w:rFonts w:ascii="宋体" w:hAnsi="宋体" w:cs="宋体"/>
          <w:bCs/>
        </w:rPr>
        <w:fldChar w:fldCharType="end"/>
      </w:r>
      <w:r>
        <w:rPr>
          <w:rFonts w:ascii="宋体" w:hAnsi="宋体" w:cs="宋体"/>
          <w:bCs/>
        </w:rPr>
        <w:t>的市值不得超过该理财</w:t>
      </w:r>
      <w:r>
        <w:rPr>
          <w:rFonts w:hint="eastAsia" w:ascii="宋体" w:hAnsi="宋体" w:cs="宋体"/>
          <w:bCs/>
        </w:rPr>
        <w:t>计划</w:t>
      </w:r>
      <w:r>
        <w:rPr>
          <w:rFonts w:ascii="宋体" w:hAnsi="宋体" w:cs="宋体"/>
          <w:bCs/>
        </w:rPr>
        <w:t>净资产</w:t>
      </w:r>
      <w:r>
        <w:rPr>
          <w:rFonts w:hint="eastAsia" w:ascii="宋体" w:hAnsi="宋体" w:cs="宋体"/>
          <w:bCs/>
        </w:rPr>
        <w:t>的</w:t>
      </w:r>
      <w:r>
        <w:rPr>
          <w:rFonts w:ascii="宋体" w:hAnsi="宋体" w:cs="宋体"/>
          <w:bCs/>
        </w:rPr>
        <w:t>10%</w:t>
      </w:r>
      <w:r>
        <w:rPr>
          <w:rFonts w:hint="eastAsia" w:ascii="宋体" w:hAnsi="宋体" w:cs="宋体"/>
          <w:bCs/>
        </w:rPr>
        <w:t>。</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w:t>
      </w:r>
      <w:r>
        <w:rPr>
          <w:rFonts w:hint="eastAsia" w:ascii="宋体" w:hAnsi="宋体"/>
        </w:rPr>
        <w:t>开放式公募</w:t>
      </w:r>
      <w:r>
        <w:rPr>
          <w:rFonts w:hint="eastAsia" w:ascii="宋体" w:hAnsi="宋体" w:cs="宋体"/>
          <w:bCs/>
        </w:rPr>
        <w:t>理财计划</w:t>
      </w:r>
      <w:r>
        <w:rPr>
          <w:rFonts w:hint="eastAsia" w:ascii="宋体" w:hAnsi="宋体"/>
        </w:rPr>
        <w:t>投资单一上市公司发行的股票,不得超过该上市公司可流通股票的15%。</w:t>
      </w:r>
    </w:p>
    <w:p>
      <w:pPr>
        <w:spacing w:line="360" w:lineRule="auto"/>
        <w:ind w:firstLine="480" w:firstLineChars="200"/>
        <w:jc w:val="left"/>
        <w:rPr>
          <w:rFonts w:hint="eastAsia" w:ascii="宋体" w:hAnsi="宋体" w:cs="宋体"/>
          <w:bCs/>
        </w:rPr>
      </w:pPr>
      <w:r>
        <w:rPr>
          <w:rFonts w:hint="eastAsia" w:ascii="宋体" w:hAnsi="宋体" w:cs="宋体"/>
          <w:bCs/>
        </w:rPr>
        <w:t>国务院银行业监督管理机构另有规定的除外。</w:t>
      </w:r>
    </w:p>
    <w:p>
      <w:pPr>
        <w:spacing w:line="360" w:lineRule="auto"/>
        <w:ind w:firstLine="480" w:firstLineChars="200"/>
        <w:jc w:val="left"/>
        <w:rPr>
          <w:rFonts w:ascii="宋体" w:hAnsi="宋体" w:cs="宋体"/>
          <w:bCs/>
        </w:rPr>
      </w:pPr>
      <w:r>
        <w:rPr>
          <w:rFonts w:hint="eastAsia" w:ascii="宋体" w:hAnsi="宋体" w:cs="宋体"/>
          <w:bCs/>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投资期限限制</w:t>
      </w:r>
    </w:p>
    <w:p>
      <w:pPr>
        <w:spacing w:line="360" w:lineRule="auto"/>
        <w:ind w:firstLine="480" w:firstLineChars="200"/>
        <w:jc w:val="left"/>
        <w:rPr>
          <w:rFonts w:hint="eastAsia" w:ascii="宋体" w:hAnsi="宋体" w:cs="宋体"/>
          <w:bCs/>
        </w:rPr>
      </w:pPr>
      <w:r>
        <w:rPr>
          <w:rFonts w:hint="eastAsia" w:ascii="宋体" w:hAnsi="宋体" w:cs="宋体"/>
          <w:bCs/>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投资杠杆率限制</w:t>
      </w:r>
    </w:p>
    <w:p>
      <w:pPr>
        <w:spacing w:line="360" w:lineRule="auto"/>
        <w:ind w:firstLine="480" w:firstLineChars="200"/>
        <w:jc w:val="left"/>
        <w:rPr>
          <w:rFonts w:hint="eastAsia" w:ascii="宋体" w:hAnsi="宋体" w:cs="宋体"/>
          <w:bCs/>
        </w:rPr>
      </w:pPr>
      <w:r>
        <w:rPr>
          <w:rFonts w:hint="eastAsia" w:ascii="宋体" w:hAnsi="宋体" w:cs="宋体"/>
          <w:bCs/>
        </w:rPr>
        <w:t>本理财计划的总资产不得超过净资产的140%。</w:t>
      </w:r>
    </w:p>
    <w:p>
      <w:pPr>
        <w:numPr>
          <w:ilvl w:val="0"/>
          <w:numId w:val="24"/>
        </w:numPr>
        <w:spacing w:line="360" w:lineRule="auto"/>
        <w:ind w:firstLine="480" w:firstLineChars="200"/>
        <w:jc w:val="left"/>
        <w:rPr>
          <w:rFonts w:hint="eastAsia" w:ascii="宋体" w:hAnsi="宋体" w:cs="宋体"/>
          <w:bCs/>
        </w:rPr>
      </w:pPr>
      <w:r>
        <w:rPr>
          <w:rFonts w:hint="eastAsia" w:ascii="宋体" w:hAnsi="宋体" w:cs="宋体"/>
          <w:bCs/>
        </w:rPr>
        <w:t>流动性限制</w:t>
      </w:r>
    </w:p>
    <w:p>
      <w:pPr>
        <w:numPr>
          <w:ilvl w:val="0"/>
          <w:numId w:val="25"/>
        </w:numPr>
        <w:spacing w:line="360" w:lineRule="auto"/>
        <w:ind w:firstLine="480" w:firstLineChars="200"/>
        <w:jc w:val="left"/>
        <w:rPr>
          <w:rFonts w:hint="eastAsia" w:ascii="宋体" w:hAnsi="宋体" w:cs="宋体"/>
          <w:bCs/>
        </w:rPr>
      </w:pPr>
      <w:r>
        <w:rPr>
          <w:rFonts w:hint="eastAsia" w:ascii="宋体" w:hAnsi="宋体" w:cs="宋体"/>
          <w:bCs/>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rPr>
      </w:pPr>
      <w:r>
        <w:rPr>
          <w:rFonts w:hint="eastAsia" w:ascii="宋体" w:hAnsi="宋体" w:cs="宋体"/>
          <w:bCs/>
        </w:rPr>
        <w:t>本理财计划如定期开放周期不低于90天，应当在开放日及开放日前7个工作日内持有不低于该理财计划资产净值5%的现金或者到期日在一年以内的国债、中央银行票据和政策性金融债券；如定期开放周期低于90天，应当持有不低于该理财计划资产净值5%的现金或者到期日在一年以内的国债、中央银行票据和政策性金融债券。</w:t>
      </w:r>
    </w:p>
    <w:p>
      <w:pPr>
        <w:numPr>
          <w:ilvl w:val="0"/>
          <w:numId w:val="25"/>
        </w:numPr>
        <w:spacing w:line="360" w:lineRule="auto"/>
        <w:ind w:firstLine="480" w:firstLineChars="200"/>
        <w:jc w:val="left"/>
        <w:rPr>
          <w:rFonts w:ascii="宋体" w:hAnsi="宋体" w:cs="宋体"/>
          <w:bCs/>
        </w:rPr>
      </w:pPr>
      <w:r>
        <w:rPr>
          <w:rFonts w:hint="eastAsia" w:ascii="宋体" w:hAnsi="宋体" w:cs="宋体"/>
          <w:bCs/>
        </w:rPr>
        <w:t>在开放日前一工作日内，本理财计划7个工作日可变现资产的可变现价值应当不低于该理财计划资产净值的10%。</w:t>
      </w:r>
    </w:p>
    <w:p>
      <w:pPr>
        <w:numPr>
          <w:ilvl w:val="0"/>
          <w:numId w:val="25"/>
        </w:numPr>
        <w:spacing w:line="360" w:lineRule="auto"/>
        <w:ind w:firstLine="480" w:firstLineChars="200"/>
        <w:jc w:val="left"/>
        <w:rPr>
          <w:rFonts w:ascii="宋体" w:hAnsi="宋体" w:cs="宋体"/>
          <w:bCs/>
        </w:rPr>
      </w:pPr>
      <w:r>
        <w:rPr>
          <w:rFonts w:hint="eastAsia" w:ascii="宋体" w:hAnsi="宋体" w:cs="宋体"/>
          <w:bCs/>
        </w:rPr>
        <w:t>本理财计划如定期开放周期低于90天，计划投资不存在活跃交易市场，并且需要采用估值技术确定公允价值的资产比例不得超过理财产品净资产50%以上。</w:t>
      </w:r>
    </w:p>
    <w:p>
      <w:pPr>
        <w:numPr>
          <w:ilvl w:val="0"/>
          <w:numId w:val="26"/>
        </w:numPr>
        <w:spacing w:line="360" w:lineRule="auto"/>
        <w:ind w:firstLine="480" w:firstLineChars="200"/>
        <w:jc w:val="left"/>
        <w:rPr>
          <w:rFonts w:hint="eastAsia" w:ascii="宋体" w:hAnsi="宋体" w:cs="宋体"/>
          <w:bCs/>
        </w:rPr>
      </w:pPr>
      <w:r>
        <w:rPr>
          <w:rFonts w:hint="eastAsia" w:ascii="宋体" w:hAnsi="宋体" w:cs="宋体"/>
          <w:bCs/>
        </w:rPr>
        <w:t>其他投资限制</w:t>
      </w:r>
    </w:p>
    <w:p>
      <w:pPr>
        <w:spacing w:line="360" w:lineRule="auto"/>
        <w:ind w:firstLine="480" w:firstLineChars="200"/>
        <w:jc w:val="left"/>
        <w:rPr>
          <w:rFonts w:hint="eastAsia" w:ascii="宋体" w:hAnsi="宋体" w:cs="宋体"/>
          <w:bCs/>
        </w:rPr>
      </w:pPr>
      <w:r>
        <w:rPr>
          <w:rFonts w:hint="eastAsia" w:ascii="宋体" w:hAnsi="宋体" w:cs="宋体"/>
          <w:bCs/>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rPr>
        <w:fldChar w:fldCharType="begin"/>
      </w:r>
      <w:r>
        <w:rPr>
          <w:rFonts w:ascii="宋体" w:hAnsi="宋体" w:cs="宋体"/>
          <w:bCs/>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rPr>
        <w:fldChar w:fldCharType="separate"/>
      </w:r>
      <w:r>
        <w:rPr>
          <w:rFonts w:ascii="宋体" w:hAnsi="宋体" w:cs="宋体"/>
          <w:bCs/>
        </w:rPr>
        <w:t>资产支持证券</w:t>
      </w:r>
      <w:r>
        <w:rPr>
          <w:rFonts w:ascii="宋体" w:hAnsi="宋体" w:cs="宋体"/>
          <w:bCs/>
        </w:rPr>
        <w:fldChar w:fldCharType="end"/>
      </w:r>
      <w:r>
        <w:rPr>
          <w:rFonts w:hint="eastAsia" w:ascii="宋体" w:hAnsi="宋体" w:cs="宋体"/>
          <w:bCs/>
        </w:rPr>
        <w:t>，不得直接或间接投资于未上市公司股权及其受（收）益权。</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拟投资市场、资产的流动性风险评估</w:t>
      </w:r>
    </w:p>
    <w:p>
      <w:pPr>
        <w:spacing w:line="360" w:lineRule="auto"/>
        <w:ind w:firstLine="480" w:firstLineChars="200"/>
        <w:jc w:val="left"/>
        <w:rPr>
          <w:rFonts w:hint="eastAsia" w:ascii="宋体" w:hAnsi="宋体" w:cs="宋体"/>
          <w:bCs/>
        </w:rPr>
      </w:pPr>
      <w:r>
        <w:rPr>
          <w:rFonts w:hint="eastAsia" w:ascii="宋体" w:hAnsi="宋体" w:cs="宋体"/>
          <w:bCs/>
        </w:rPr>
        <w:t>本理财计划拟投资市场可能面临的流动性风险如下：</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权益类资产的可能流动性风险（如有）：权益类资产包括但不限于上市公司普通股、上市公司优先股、股票基金、股票定向增发等，受国家政策、经济周期、利率、汇率、股票发行人经营情况等因素导致的市场风险，可能导致流通与转让限制、市场参与者交易意愿降低、停牌、退市等情形，从而进一步引发流动性风险。</w:t>
      </w:r>
    </w:p>
    <w:p>
      <w:pPr>
        <w:spacing w:line="360" w:lineRule="auto"/>
        <w:ind w:firstLine="480" w:firstLineChars="200"/>
        <w:jc w:val="left"/>
        <w:rPr>
          <w:rFonts w:hint="eastAsia" w:ascii="宋体" w:hAnsi="宋体" w:cs="宋体"/>
          <w:bCs/>
        </w:rPr>
      </w:pPr>
      <w:r>
        <w:rPr>
          <w:rFonts w:hint="eastAsia" w:ascii="宋体" w:hAnsi="宋体" w:cs="宋体"/>
          <w:bCs/>
        </w:rPr>
        <w:t>以上风险仅为列举性质，未能详尽列明拟投资市场和资产面临的全部流动性风险</w:t>
      </w:r>
      <w:r>
        <w:rPr>
          <w:rFonts w:ascii="宋体" w:hAnsi="宋体" w:cs="宋体"/>
          <w:bCs/>
        </w:rPr>
        <w:t>可能导致投资者投资本金及收益损失</w:t>
      </w:r>
      <w:r>
        <w:rPr>
          <w:rFonts w:hint="eastAsia" w:ascii="宋体" w:hAnsi="宋体" w:cs="宋体"/>
          <w:bCs/>
        </w:rPr>
        <w:t>或延期兑付</w:t>
      </w:r>
      <w:r>
        <w:rPr>
          <w:rFonts w:ascii="宋体" w:hAnsi="宋体" w:cs="宋体"/>
          <w:bCs/>
        </w:rPr>
        <w:t>的所有因素</w:t>
      </w:r>
      <w:r>
        <w:rPr>
          <w:rFonts w:hint="eastAsia" w:ascii="宋体" w:hAnsi="宋体" w:cs="宋体"/>
          <w:bCs/>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合作机构及主要职责</w:t>
      </w:r>
    </w:p>
    <w:p>
      <w:pPr>
        <w:numPr>
          <w:ilvl w:val="0"/>
          <w:numId w:val="29"/>
        </w:numPr>
        <w:spacing w:line="360" w:lineRule="auto"/>
        <w:ind w:firstLine="482" w:firstLineChars="200"/>
        <w:jc w:val="left"/>
        <w:outlineLvl w:val="2"/>
        <w:rPr>
          <w:rFonts w:hint="eastAsia" w:ascii="宋体" w:hAnsi="宋体" w:cs="宋体"/>
          <w:b/>
        </w:rPr>
      </w:pPr>
      <w:r>
        <w:rPr>
          <w:rFonts w:hint="eastAsia" w:ascii="宋体" w:hAnsi="宋体" w:cs="宋体"/>
          <w:b/>
        </w:rPr>
        <w:t>托管人</w:t>
      </w:r>
    </w:p>
    <w:tbl>
      <w:tblPr>
        <w:tblStyle w:val="11"/>
        <w:tblW w:w="826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3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托管人名称</w:t>
            </w:r>
          </w:p>
        </w:tc>
        <w:tc>
          <w:tcPr>
            <w:tcW w:w="6233" w:type="dxa"/>
            <w:noWrap w:val="0"/>
            <w:vAlign w:val="top"/>
          </w:tcPr>
          <w:p>
            <w:pPr>
              <w:spacing w:line="360" w:lineRule="auto"/>
              <w:jc w:val="left"/>
              <w:rPr>
                <w:rFonts w:ascii="宋体" w:hAnsi="宋体" w:cs="宋体"/>
                <w:bCs/>
                <w:sz w:val="21"/>
                <w:szCs w:val="21"/>
              </w:rPr>
            </w:pPr>
            <w:r>
              <w:rPr>
                <w:rFonts w:hint="eastAsia" w:ascii="宋体" w:hAnsi="宋体" w:cs="宋体"/>
                <w:bCs/>
                <w:sz w:val="21"/>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3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托管人住所</w:t>
            </w:r>
          </w:p>
        </w:tc>
        <w:tc>
          <w:tcPr>
            <w:tcW w:w="6233" w:type="dxa"/>
            <w:noWrap w:val="0"/>
            <w:vAlign w:val="top"/>
          </w:tcPr>
          <w:p>
            <w:pPr>
              <w:spacing w:line="360" w:lineRule="auto"/>
              <w:jc w:val="left"/>
              <w:rPr>
                <w:rFonts w:hint="eastAsia" w:ascii="宋体" w:hAnsi="宋体" w:eastAsia="宋体" w:cs="宋体"/>
                <w:bCs/>
                <w:sz w:val="21"/>
                <w:szCs w:val="21"/>
                <w:lang w:eastAsia="zh-CN"/>
              </w:rPr>
            </w:pPr>
            <w:r>
              <w:rPr>
                <w:rFonts w:hint="eastAsia" w:ascii="宋体" w:hAnsi="宋体" w:cs="宋体"/>
                <w:bCs/>
                <w:sz w:val="21"/>
                <w:szCs w:val="21"/>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3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托管人职责</w:t>
            </w:r>
          </w:p>
        </w:tc>
        <w:tc>
          <w:tcPr>
            <w:tcW w:w="6233" w:type="dxa"/>
            <w:noWrap w:val="0"/>
            <w:vAlign w:val="top"/>
          </w:tcPr>
          <w:p>
            <w:pPr>
              <w:spacing w:line="360" w:lineRule="auto"/>
              <w:jc w:val="left"/>
              <w:rPr>
                <w:rFonts w:hint="eastAsia" w:ascii="宋体" w:hAnsi="宋体" w:cs="宋体"/>
                <w:bCs/>
                <w:sz w:val="21"/>
                <w:szCs w:val="21"/>
              </w:rPr>
            </w:pPr>
            <w:r>
              <w:rPr>
                <w:rFonts w:hint="eastAsia" w:ascii="宋体" w:hAnsi="宋体" w:cs="宋体"/>
                <w:bCs/>
                <w:sz w:val="21"/>
                <w:szCs w:val="21"/>
              </w:rPr>
              <w:t>主要提供包括账户开立、资金保管、资金结算、估值核对等理财产品托管服务。</w:t>
            </w:r>
          </w:p>
        </w:tc>
      </w:tr>
    </w:tbl>
    <w:p>
      <w:pPr>
        <w:numPr>
          <w:ilvl w:val="0"/>
          <w:numId w:val="30"/>
        </w:numPr>
        <w:spacing w:line="360" w:lineRule="auto"/>
        <w:ind w:firstLine="482" w:firstLineChars="200"/>
        <w:jc w:val="left"/>
        <w:outlineLvl w:val="2"/>
        <w:rPr>
          <w:rFonts w:hint="eastAsia" w:ascii="宋体" w:hAnsi="宋体" w:cs="宋体"/>
          <w:b/>
        </w:rPr>
      </w:pPr>
      <w:r>
        <w:rPr>
          <w:rFonts w:hint="eastAsia" w:ascii="宋体" w:hAnsi="宋体" w:cs="宋体"/>
          <w:b/>
        </w:rPr>
        <w:t>销售机构</w:t>
      </w:r>
    </w:p>
    <w:tbl>
      <w:tblPr>
        <w:tblStyle w:val="11"/>
        <w:tblW w:w="8265" w:type="dxa"/>
        <w:tblInd w:w="0" w:type="dxa"/>
        <w:tblLayout w:type="fixed"/>
        <w:tblCellMar>
          <w:top w:w="0" w:type="dxa"/>
          <w:left w:w="0" w:type="dxa"/>
          <w:bottom w:w="0" w:type="dxa"/>
          <w:right w:w="0" w:type="dxa"/>
        </w:tblCellMar>
      </w:tblPr>
      <w:tblGrid>
        <w:gridCol w:w="1071"/>
        <w:gridCol w:w="2175"/>
        <w:gridCol w:w="1179"/>
        <w:gridCol w:w="3840"/>
      </w:tblGrid>
      <w:tr>
        <w:tblPrEx>
          <w:tblLayout w:type="fixed"/>
          <w:tblCellMar>
            <w:top w:w="0" w:type="dxa"/>
            <w:left w:w="0" w:type="dxa"/>
            <w:bottom w:w="0" w:type="dxa"/>
            <w:right w:w="0" w:type="dxa"/>
          </w:tblCellMar>
        </w:tblPrEx>
        <w:trPr>
          <w:trHeight w:val="570" w:hRule="atLeast"/>
        </w:trPr>
        <w:tc>
          <w:tcPr>
            <w:tcW w:w="1071"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p>
            <w:pPr>
              <w:widowControl/>
              <w:spacing w:line="360" w:lineRule="auto"/>
              <w:jc w:val="center"/>
              <w:textAlignment w:val="center"/>
              <w:rPr>
                <w:rFonts w:hint="eastAsia" w:ascii="宋体" w:hAnsi="宋体" w:eastAsia="宋体" w:cs="宋体"/>
                <w:color w:val="000000"/>
                <w:kern w:val="0"/>
                <w:sz w:val="21"/>
                <w:szCs w:val="21"/>
                <w:lang w:bidi="ar"/>
              </w:rPr>
            </w:pPr>
          </w:p>
          <w:p>
            <w:pPr>
              <w:widowControl/>
              <w:spacing w:line="360" w:lineRule="auto"/>
              <w:jc w:val="center"/>
              <w:textAlignment w:val="center"/>
              <w:rPr>
                <w:rFonts w:hint="eastAsia" w:ascii="宋体" w:hAnsi="宋体" w:eastAsia="宋体" w:cs="宋体"/>
                <w:color w:val="000000"/>
                <w:kern w:val="0"/>
                <w:sz w:val="21"/>
                <w:szCs w:val="21"/>
                <w:lang w:bidi="ar"/>
              </w:rPr>
            </w:pPr>
          </w:p>
          <w:p>
            <w:pPr>
              <w:widowControl/>
              <w:spacing w:line="360" w:lineRule="auto"/>
              <w:jc w:val="center"/>
              <w:textAlignment w:val="center"/>
              <w:rPr>
                <w:rFonts w:hint="eastAsia" w:ascii="宋体" w:hAnsi="宋体" w:eastAsia="宋体" w:cs="宋体"/>
                <w:color w:val="000000"/>
                <w:kern w:val="0"/>
                <w:sz w:val="21"/>
                <w:szCs w:val="21"/>
                <w:lang w:bidi="ar"/>
              </w:rPr>
            </w:pPr>
          </w:p>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销售机构信息</w:t>
            </w: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杭州银行股份有限公司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浙江省杭州市上城区解放东路168号</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95398</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兴业银行股份有限公司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上海市浦东新区银城路 167 号</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95561</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江苏银行股份有限公司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江苏省南京市中华路26号</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95319</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厦门银行股份有限公司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厦门市思明区湖滨北路101号商业银行大厦</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400-858-8888</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厦门国际银行股份有限公司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厦门市思明区鹭江道8-10号国际银行大厦1-6层</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400-1623-623</w:t>
            </w:r>
          </w:p>
        </w:tc>
      </w:tr>
      <w:tr>
        <w:tblPrEx>
          <w:tblLayout w:type="fixed"/>
          <w:tblCellMar>
            <w:top w:w="0" w:type="dxa"/>
            <w:left w:w="0" w:type="dxa"/>
            <w:bottom w:w="0" w:type="dxa"/>
            <w:right w:w="0" w:type="dxa"/>
          </w:tblCellMar>
        </w:tblPrEx>
        <w:trPr>
          <w:trHeight w:val="56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富邦华一银行有限公司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中国(上海)自由贸易试验区世纪大道1168号A座101室、18楼、19楼及20楼</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8621—962811</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宁波鄞州农村商业银行股份有限公司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浙江省宁波市鄞州区民惠西路88号</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956058</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深圳前海微众银行股份有限公司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广东省深圳市南山区沙河西路1819号深圳湾科技生态园7栋A座</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95384</w:t>
            </w:r>
          </w:p>
        </w:tc>
      </w:tr>
      <w:tr>
        <w:tblPrEx>
          <w:tblLayout w:type="fixed"/>
          <w:tblCellMar>
            <w:top w:w="0" w:type="dxa"/>
            <w:left w:w="0" w:type="dxa"/>
            <w:bottom w:w="0" w:type="dxa"/>
            <w:right w:w="0" w:type="dxa"/>
          </w:tblCellMar>
        </w:tblPrEx>
        <w:trPr>
          <w:trHeight w:val="56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吉林亿联银行股份有限公司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吉林省长春市南关区人民大街10606号东北亚国际金融中心一期北楼</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9</w:t>
            </w:r>
            <w:r>
              <w:rPr>
                <w:rFonts w:hint="eastAsia" w:ascii="宋体" w:hAnsi="宋体" w:eastAsia="宋体" w:cs="宋体"/>
                <w:color w:val="000000"/>
                <w:kern w:val="0"/>
                <w:sz w:val="21"/>
                <w:szCs w:val="21"/>
                <w:lang w:val="en-US" w:eastAsia="zh-CN" w:bidi="ar"/>
              </w:rPr>
              <w:t>5396</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重庆富民银行股份有限公司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重庆市渝北区财富东路2号涉外商务区一期B1栋</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4008－108－999</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中信百信银行股份有限公司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北京市朝阳区安定路5号院3号楼8层</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956</w:t>
            </w: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86</w:t>
            </w:r>
          </w:p>
        </w:tc>
      </w:tr>
      <w:tr>
        <w:tblPrEx>
          <w:tblLayout w:type="fixed"/>
          <w:tblCellMar>
            <w:top w:w="0" w:type="dxa"/>
            <w:left w:w="0" w:type="dxa"/>
            <w:bottom w:w="0" w:type="dxa"/>
            <w:right w:w="0" w:type="dxa"/>
          </w:tblCellMar>
        </w:tblPrEx>
        <w:trPr>
          <w:trHeight w:val="56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bidi="ar"/>
              </w:rPr>
              <w:t>江苏苏</w:t>
            </w:r>
            <w:r>
              <w:rPr>
                <w:rFonts w:hint="eastAsia" w:ascii="宋体" w:hAnsi="宋体" w:cs="宋体"/>
                <w:color w:val="000000"/>
                <w:kern w:val="0"/>
                <w:sz w:val="21"/>
                <w:szCs w:val="21"/>
                <w:lang w:val="en-US" w:eastAsia="zh-CN" w:bidi="ar"/>
              </w:rPr>
              <w:t>商</w:t>
            </w:r>
            <w:r>
              <w:rPr>
                <w:rFonts w:hint="eastAsia" w:ascii="宋体" w:hAnsi="宋体" w:cs="宋体"/>
                <w:color w:val="000000"/>
                <w:kern w:val="0"/>
                <w:sz w:val="21"/>
                <w:szCs w:val="21"/>
                <w:lang w:bidi="ar"/>
              </w:rPr>
              <w:t>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bidi="ar"/>
              </w:rPr>
              <w:t>南京市建邺区庐山路248号4号楼7、8、9、27、28、29层，4号楼裙楼第1、2层</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bidi="ar"/>
              </w:rPr>
              <w:t>95</w:t>
            </w:r>
            <w:r>
              <w:rPr>
                <w:rFonts w:hint="eastAsia" w:ascii="宋体" w:hAnsi="宋体" w:cs="宋体"/>
                <w:color w:val="000000"/>
                <w:kern w:val="0"/>
                <w:sz w:val="21"/>
                <w:szCs w:val="21"/>
                <w:lang w:val="en-US" w:eastAsia="zh-CN" w:bidi="ar"/>
              </w:rPr>
              <w:t>6101</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石嘴山银行股份有限公司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宁夏回族自治区石嘴山市大武口区朝阳西街39号</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0951-96789</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中信银行股份有限公司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北京市朝阳区光华路10号院1号楼6-30层、32-42层</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95558</w:t>
            </w:r>
          </w:p>
        </w:tc>
      </w:tr>
      <w:tr>
        <w:tblPrEx>
          <w:tblLayout w:type="fixed"/>
          <w:tblCellMar>
            <w:top w:w="0" w:type="dxa"/>
            <w:left w:w="0" w:type="dxa"/>
            <w:bottom w:w="0" w:type="dxa"/>
            <w:right w:w="0" w:type="dxa"/>
          </w:tblCellMar>
        </w:tblPrEx>
        <w:trPr>
          <w:trHeight w:val="29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齐鲁银行股份有限公司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山东省济南市历下区经十路10817号</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400-609-6588</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苏州银行股份有限公司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江苏省苏州工业园区钟园路728号</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96067</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日照银行股份有限公司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山东省日照市烟台路197号</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400-68-96588</w:t>
            </w:r>
          </w:p>
        </w:tc>
      </w:tr>
      <w:tr>
        <w:tblPrEx>
          <w:tblLayout w:type="fixed"/>
          <w:tblCellMar>
            <w:top w:w="0" w:type="dxa"/>
            <w:left w:w="0" w:type="dxa"/>
            <w:bottom w:w="0" w:type="dxa"/>
            <w:right w:w="0" w:type="dxa"/>
          </w:tblCellMar>
        </w:tblPrEx>
        <w:trPr>
          <w:trHeight w:val="57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广东南粤银行股份有限公司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湛江经济技术开发区乐山路27号财富汇金融中心1层01、02号商铺、2层01号商铺、3层01号商铺、39-45层办公室</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4000-961818</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东莞银行股份有限公司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东莞市莞城区体育路21号</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956033</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浙商银行股份有限公司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浙江省杭州市萧山区鸿宁路1788号</w:t>
            </w:r>
          </w:p>
        </w:tc>
      </w:tr>
      <w:tr>
        <w:tblPrEx>
          <w:tblLayout w:type="fixed"/>
          <w:tblCellMar>
            <w:top w:w="0" w:type="dxa"/>
            <w:left w:w="0" w:type="dxa"/>
            <w:bottom w:w="0" w:type="dxa"/>
            <w:right w:w="0" w:type="dxa"/>
          </w:tblCellMar>
        </w:tblPrEx>
        <w:trPr>
          <w:trHeight w:val="285"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95527</w:t>
            </w:r>
          </w:p>
        </w:tc>
      </w:tr>
      <w:tr>
        <w:tblPrEx>
          <w:tblLayout w:type="fixed"/>
          <w:tblCellMar>
            <w:top w:w="0" w:type="dxa"/>
            <w:left w:w="0" w:type="dxa"/>
            <w:bottom w:w="0" w:type="dxa"/>
            <w:right w:w="0" w:type="dxa"/>
          </w:tblCellMar>
        </w:tblPrEx>
        <w:trPr>
          <w:trHeight w:val="57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澳门国际银行股份有限公司广州分行</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广州市天河区珠江新城华夏路8号合景国际金融广场1层104房、34层3401房、35层3501房</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020-28089999</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杭银理财有限责任公司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浙江省杭州市拱墅区庆春路38号金龙财富中心</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400-8950-999</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中邮邮惠万家银行有限责任公司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上海市虹口区东大名路1080号25层、26层</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40011-88888</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四川天府银行股份有限公司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四川省南充市顺庆区滨江中路一段97号26栋</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400-16-96869</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江苏常熟农村商业银行股份有限公司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江苏省常熟市新世纪大道58号</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956020</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威海蓝海银行股份有限公司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山东省威海市环翠区新威路17-2号</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400-0631-888</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温州银行股份有限公司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浙江省温州市鹿城区会展路1316号</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top"/>
          </w:tcPr>
          <w:p>
            <w:pPr>
              <w:rPr>
                <w:rFonts w:hint="eastAsia" w:ascii="宋体" w:hAnsi="宋体" w:eastAsia="宋体" w:cs="宋体"/>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0577-96699</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sz w:val="21"/>
                <w:szCs w:val="21"/>
              </w:rPr>
            </w:pPr>
            <w:r>
              <w:rPr>
                <w:rFonts w:hint="eastAsia" w:ascii="宋体" w:hAnsi="宋体" w:cs="宋体"/>
                <w:bCs/>
                <w:sz w:val="21"/>
                <w:szCs w:val="21"/>
                <w:highlight w:val="none"/>
                <w:lang w:val="en-US" w:eastAsia="zh-CN"/>
              </w:rPr>
              <w:t>浙江网商银行</w:t>
            </w:r>
            <w:r>
              <w:rPr>
                <w:rFonts w:hint="eastAsia" w:ascii="宋体" w:hAnsi="宋体" w:cs="宋体"/>
                <w:bCs/>
                <w:sz w:val="21"/>
                <w:szCs w:val="21"/>
                <w:highlight w:val="none"/>
              </w:rPr>
              <w:t>股份有限公司</w:t>
            </w: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sz w:val="21"/>
                <w:szCs w:val="21"/>
              </w:rPr>
            </w:pPr>
            <w:r>
              <w:rPr>
                <w:rFonts w:hint="eastAsia" w:ascii="宋体" w:hAnsi="宋体" w:cs="宋体"/>
                <w:bCs/>
                <w:sz w:val="21"/>
                <w:szCs w:val="21"/>
                <w:highlight w:val="none"/>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sz w:val="21"/>
                <w:szCs w:val="21"/>
              </w:rPr>
            </w:pPr>
            <w:r>
              <w:rPr>
                <w:rFonts w:hint="eastAsia" w:ascii="宋体" w:hAnsi="宋体" w:cs="宋体"/>
                <w:bCs/>
                <w:sz w:val="21"/>
                <w:szCs w:val="21"/>
                <w:highlight w:val="none"/>
              </w:rPr>
              <w:t>杭州市</w:t>
            </w:r>
            <w:r>
              <w:rPr>
                <w:rFonts w:hint="eastAsia" w:ascii="宋体" w:hAnsi="宋体" w:cs="宋体"/>
                <w:bCs/>
                <w:sz w:val="21"/>
                <w:szCs w:val="21"/>
                <w:highlight w:val="none"/>
                <w:lang w:val="en-US" w:eastAsia="zh-CN"/>
              </w:rPr>
              <w:t>西湖区西溪路556号阿里中心</w:t>
            </w:r>
          </w:p>
        </w:tc>
      </w:tr>
      <w:tr>
        <w:tblPrEx>
          <w:tblLayout w:type="fixed"/>
          <w:tblCellMar>
            <w:top w:w="0" w:type="dxa"/>
            <w:left w:w="0" w:type="dxa"/>
            <w:bottom w:w="0" w:type="dxa"/>
            <w:right w:w="0" w:type="dxa"/>
          </w:tblCellMar>
        </w:tblPrEx>
        <w:trPr>
          <w:trHeight w:val="300" w:hRule="atLeast"/>
        </w:trPr>
        <w:tc>
          <w:tcPr>
            <w:tcW w:w="1071"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color w:val="000000"/>
                <w:sz w:val="21"/>
                <w:szCs w:val="21"/>
              </w:rPr>
            </w:pPr>
          </w:p>
        </w:tc>
        <w:tc>
          <w:tcPr>
            <w:tcW w:w="2175"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sz w:val="21"/>
                <w:szCs w:val="21"/>
              </w:rPr>
            </w:pPr>
          </w:p>
        </w:tc>
        <w:tc>
          <w:tcPr>
            <w:tcW w:w="11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sz w:val="21"/>
                <w:szCs w:val="21"/>
              </w:rPr>
            </w:pPr>
            <w:r>
              <w:rPr>
                <w:rFonts w:hint="eastAsia" w:ascii="宋体" w:hAnsi="宋体" w:cs="宋体"/>
                <w:bCs/>
                <w:sz w:val="21"/>
                <w:szCs w:val="21"/>
                <w:highlight w:val="none"/>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eastAsia="宋体" w:cs="宋体"/>
                <w:sz w:val="21"/>
                <w:szCs w:val="21"/>
              </w:rPr>
            </w:pPr>
            <w:r>
              <w:rPr>
                <w:rFonts w:hint="eastAsia" w:ascii="宋体" w:hAnsi="宋体" w:cs="宋体"/>
                <w:bCs/>
                <w:sz w:val="21"/>
                <w:szCs w:val="21"/>
                <w:highlight w:val="none"/>
              </w:rPr>
              <w:t>95</w:t>
            </w:r>
            <w:r>
              <w:rPr>
                <w:rFonts w:hint="eastAsia" w:ascii="宋体" w:hAnsi="宋体" w:cs="宋体"/>
                <w:bCs/>
                <w:sz w:val="21"/>
                <w:szCs w:val="21"/>
                <w:highlight w:val="none"/>
                <w:lang w:val="en-US" w:eastAsia="zh-CN"/>
              </w:rPr>
              <w:t>18</w:t>
            </w:r>
            <w:r>
              <w:rPr>
                <w:rFonts w:hint="eastAsia" w:ascii="宋体" w:hAnsi="宋体" w:cs="宋体"/>
                <w:bCs/>
                <w:sz w:val="21"/>
                <w:szCs w:val="21"/>
                <w:highlight w:val="none"/>
              </w:rPr>
              <w:t>8</w:t>
            </w:r>
            <w:r>
              <w:rPr>
                <w:rFonts w:hint="eastAsia" w:ascii="宋体" w:hAnsi="宋体" w:cs="宋体"/>
                <w:bCs/>
                <w:sz w:val="21"/>
                <w:szCs w:val="21"/>
                <w:highlight w:val="none"/>
                <w:lang w:val="en-US" w:eastAsia="zh-CN"/>
              </w:rPr>
              <w:t>-3</w:t>
            </w:r>
          </w:p>
        </w:tc>
      </w:tr>
      <w:tr>
        <w:tblPrEx>
          <w:tblLayout w:type="fixed"/>
          <w:tblCellMar>
            <w:top w:w="0" w:type="dxa"/>
            <w:left w:w="0" w:type="dxa"/>
            <w:bottom w:w="0" w:type="dxa"/>
            <w:right w:w="0" w:type="dxa"/>
          </w:tblCellMar>
        </w:tblPrEx>
        <w:trPr>
          <w:trHeight w:val="1320" w:hRule="atLeast"/>
        </w:trPr>
        <w:tc>
          <w:tcPr>
            <w:tcW w:w="10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销售机构职责</w:t>
            </w:r>
          </w:p>
        </w:tc>
        <w:tc>
          <w:tcPr>
            <w:tcW w:w="7194"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主要负责理财计划推广、投资者风险承受能力评估、投资者适当性管理、理财计划份额认购、申购及赎回办理。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
        </w:rPr>
      </w:pPr>
      <w:r>
        <w:rPr>
          <w:rFonts w:hint="eastAsia" w:ascii="宋体" w:hAnsi="宋体" w:cs="宋体"/>
          <w:bCs/>
          <w:color w:val="000000"/>
        </w:rPr>
        <w:t>在本理财计划发行后新增准入的销售机构将以管理人对外公告</w:t>
      </w:r>
      <w:r>
        <w:rPr>
          <w:rFonts w:hint="eastAsia" w:ascii="宋体" w:hAnsi="宋体" w:cs="宋体"/>
          <w:bCs/>
          <w:color w:val="000000"/>
          <w:sz w:val="24"/>
          <w:highlight w:val="none"/>
          <w:lang w:val="en-US" w:eastAsia="zh-CN"/>
        </w:rPr>
        <w:t>或官方网站展示</w:t>
      </w:r>
      <w:r>
        <w:rPr>
          <w:rFonts w:hint="eastAsia" w:ascii="宋体" w:hAnsi="宋体" w:cs="宋体"/>
          <w:bCs/>
          <w:color w:val="000000"/>
        </w:rPr>
        <w:t>为准。</w:t>
      </w:r>
    </w:p>
    <w:p>
      <w:pPr>
        <w:spacing w:line="360" w:lineRule="auto"/>
        <w:jc w:val="left"/>
        <w:rPr>
          <w:rFonts w:ascii="宋体" w:hAnsi="宋体" w:cs="宋体"/>
          <w:bCs/>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估值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估值日</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本理财计划估值日为每个工作日，定期由理财管理人和理财托管人核对估值结果并向投资者披露，具体日期以管理人公告为准。</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估值对象</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本理财计划所投资的所有资产及负债。</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估值目的</w:t>
      </w:r>
    </w:p>
    <w:p>
      <w:pPr>
        <w:spacing w:line="360" w:lineRule="auto"/>
        <w:ind w:firstLine="480" w:firstLineChars="200"/>
        <w:rPr>
          <w:rFonts w:hint="eastAsia" w:ascii="宋体" w:hAnsi="宋体" w:cs="宋体"/>
          <w:bCs/>
          <w:color w:val="000000"/>
        </w:rPr>
      </w:pPr>
      <w:r>
        <w:rPr>
          <w:rFonts w:hint="eastAsia" w:ascii="宋体" w:hAnsi="宋体" w:cs="宋体"/>
          <w:bCs/>
          <w:color w:val="000000"/>
        </w:rPr>
        <w:t>客观、准确反映理财计划的价值。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估值方法</w:t>
      </w:r>
    </w:p>
    <w:p>
      <w:pPr>
        <w:spacing w:line="360" w:lineRule="auto"/>
        <w:ind w:firstLine="480" w:firstLineChars="200"/>
        <w:rPr>
          <w:rFonts w:hint="eastAsia" w:ascii="宋体" w:hAnsi="宋体" w:cs="宋体"/>
          <w:bCs/>
          <w:color w:val="000000"/>
        </w:rPr>
      </w:pPr>
      <w:r>
        <w:rPr>
          <w:rFonts w:hint="eastAsia" w:ascii="宋体" w:hAnsi="宋体" w:cs="宋体"/>
          <w:bCs/>
          <w:color w:val="000000"/>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rPr>
      </w:pPr>
      <w:r>
        <w:rPr>
          <w:rFonts w:hint="eastAsia"/>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货币市场工具类资产</w:t>
      </w:r>
    </w:p>
    <w:p>
      <w:pPr>
        <w:pStyle w:val="17"/>
        <w:adjustRightInd/>
        <w:spacing w:line="360" w:lineRule="auto"/>
        <w:ind w:firstLine="480" w:firstLineChars="200"/>
        <w:rPr>
          <w:rFonts w:hint="eastAsia" w:ascii="宋体" w:hAnsi="宋体" w:cs="宋体"/>
          <w:bCs/>
          <w:kern w:val="2"/>
        </w:rPr>
      </w:pPr>
      <w:r>
        <w:rPr>
          <w:rFonts w:hint="eastAsia" w:ascii="宋体" w:hAnsi="宋体" w:cs="宋体"/>
          <w:bCs/>
          <w:kern w:val="2"/>
        </w:rPr>
        <w:t>银行存款及回购，以本金列示，按商定利率在实际持有期间内逐日计提利息。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债券及同业存单类资产</w:t>
      </w:r>
    </w:p>
    <w:p>
      <w:pPr>
        <w:spacing w:line="360" w:lineRule="auto"/>
        <w:ind w:firstLine="480" w:firstLineChars="200"/>
        <w:rPr>
          <w:rFonts w:ascii="宋体" w:hAnsi="宋体" w:cs="宋体"/>
          <w:bCs/>
          <w:color w:val="000000"/>
        </w:rPr>
      </w:pPr>
      <w:r>
        <w:rPr>
          <w:rFonts w:hint="eastAsia" w:ascii="宋体" w:hAnsi="宋体" w:cs="宋体"/>
          <w:bCs/>
          <w:color w:val="000000"/>
        </w:rPr>
        <w:t>以收取合同现金流量为目的并持有到期的债券及同业存单类资产，按摊余成本法进行计量。其余债券及同业存单类资产，按市价法估值。市价法不能确定公允价值的，采用估值技术进行估值。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债权类资产</w:t>
      </w:r>
    </w:p>
    <w:p>
      <w:pPr>
        <w:spacing w:line="360" w:lineRule="auto"/>
        <w:ind w:firstLine="480" w:firstLineChars="200"/>
        <w:rPr>
          <w:rFonts w:ascii="宋体" w:hAnsi="宋体" w:cs="宋体"/>
          <w:bCs/>
          <w:color w:val="000000"/>
        </w:rPr>
      </w:pPr>
      <w:r>
        <w:rPr>
          <w:rFonts w:hint="eastAsia" w:ascii="宋体" w:hAnsi="宋体" w:cs="宋体"/>
          <w:bCs/>
          <w:color w:val="000000"/>
        </w:rPr>
        <w:t>对于符合监管要求的债权类资产，按照摊余成本法进行计量。其余债权类资产，按市价法估值。市价法不能确定其公允价值的，采用估值技术进行估值。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股权类资产</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上市流通股票按估值日其所在证券交易所的收盘价估值；估值日无交易，且最近交易日后未发生影响公允价值计量的重大事件的，以最近交易日的收盘价估值。</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未上市股票的估值：</w:t>
      </w:r>
    </w:p>
    <w:p>
      <w:pPr>
        <w:spacing w:line="360" w:lineRule="auto"/>
        <w:ind w:firstLine="480" w:firstLineChars="200"/>
        <w:rPr>
          <w:rFonts w:hint="eastAsia" w:ascii="宋体" w:hAnsi="宋体"/>
        </w:rPr>
      </w:pPr>
      <w:r>
        <w:rPr>
          <w:rFonts w:hint="eastAsia" w:ascii="宋体" w:hAnsi="宋体" w:cs="宋体"/>
          <w:bCs/>
          <w:color w:val="000000"/>
        </w:rPr>
        <w:t>1）</w:t>
      </w:r>
      <w:r>
        <w:rPr>
          <w:rFonts w:hint="eastAsia" w:ascii="宋体" w:hAnsi="宋体"/>
        </w:rPr>
        <w:t>送股、转增股、配股和公开增发新股等发行未上市的股票，按估值日在证券交易所挂牌的同一股票的市价估值；</w:t>
      </w:r>
    </w:p>
    <w:p>
      <w:pPr>
        <w:spacing w:line="360" w:lineRule="auto"/>
        <w:ind w:firstLine="480" w:firstLineChars="200"/>
        <w:rPr>
          <w:rFonts w:hint="eastAsia" w:ascii="宋体" w:hAnsi="宋体"/>
        </w:rPr>
      </w:pPr>
      <w:r>
        <w:rPr>
          <w:rFonts w:hint="eastAsia" w:ascii="宋体" w:hAnsi="宋体"/>
        </w:rPr>
        <w:t>2）首次公开发行有明确锁定期的股票，同一股票在交易所上市后，按交易所上市的同一股票的市价估值；</w:t>
      </w:r>
    </w:p>
    <w:p>
      <w:pPr>
        <w:spacing w:line="360" w:lineRule="auto"/>
        <w:ind w:firstLine="480" w:firstLineChars="200"/>
        <w:rPr>
          <w:rFonts w:hint="eastAsia" w:ascii="宋体" w:hAnsi="宋体"/>
        </w:rPr>
      </w:pPr>
      <w:r>
        <w:rPr>
          <w:rFonts w:hint="eastAsia" w:ascii="宋体" w:hAnsi="宋体"/>
        </w:rPr>
        <w:t>3）首次发行未上市的股票，按发行价格进行估值；</w:t>
      </w:r>
    </w:p>
    <w:p>
      <w:pPr>
        <w:spacing w:line="360" w:lineRule="auto"/>
        <w:ind w:firstLine="480" w:firstLineChars="200"/>
        <w:rPr>
          <w:rFonts w:hint="eastAsia" w:ascii="宋体" w:hAnsi="宋体"/>
        </w:rPr>
      </w:pPr>
      <w:r>
        <w:rPr>
          <w:rFonts w:hint="eastAsia" w:ascii="宋体" w:hAnsi="宋体"/>
        </w:rPr>
        <w:t>4）因持有股票而享有的配股权，采用估值技术确定公允价值。</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非上市股权的估值：</w:t>
      </w:r>
    </w:p>
    <w:p>
      <w:pPr>
        <w:spacing w:line="360" w:lineRule="auto"/>
        <w:ind w:firstLine="480" w:firstLineChars="200"/>
        <w:rPr>
          <w:rFonts w:hint="eastAsia" w:ascii="宋体" w:hAnsi="宋体" w:cs="宋体"/>
          <w:bCs/>
          <w:color w:val="000000"/>
        </w:rPr>
      </w:pPr>
      <w:r>
        <w:rPr>
          <w:rFonts w:hint="eastAsia" w:ascii="宋体" w:hAnsi="宋体" w:cs="宋体"/>
          <w:bCs/>
          <w:color w:val="000000"/>
        </w:rPr>
        <w:t>非上市股权类资产，按照国家最新规定，采用合理的估值技术进行估值。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基金、资产管理计划类资产</w:t>
      </w:r>
    </w:p>
    <w:p>
      <w:pPr>
        <w:spacing w:line="360" w:lineRule="auto"/>
        <w:ind w:firstLine="480" w:firstLineChars="200"/>
        <w:rPr>
          <w:rFonts w:hint="eastAsia" w:ascii="宋体" w:hAnsi="宋体"/>
        </w:rPr>
      </w:pPr>
      <w:r>
        <w:rPr>
          <w:rFonts w:hint="eastAsia" w:ascii="宋体" w:hAnsi="宋体" w:cs="宋体"/>
          <w:bCs/>
          <w:color w:val="000000"/>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rPr>
      </w:pPr>
      <w:r>
        <w:rPr>
          <w:rFonts w:hint="eastAsia" w:ascii="宋体" w:hAnsi="宋体" w:cs="宋体"/>
          <w:bCs/>
          <w:color w:val="000000"/>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其他资产的估值方法</w:t>
      </w:r>
    </w:p>
    <w:p>
      <w:pPr>
        <w:pStyle w:val="17"/>
        <w:spacing w:line="360" w:lineRule="auto"/>
        <w:ind w:firstLine="480" w:firstLineChars="200"/>
        <w:rPr>
          <w:rFonts w:hint="eastAsia" w:ascii="宋体" w:hAnsi="宋体" w:cs="宋体"/>
          <w:bCs/>
          <w:kern w:val="2"/>
        </w:rPr>
      </w:pPr>
      <w:r>
        <w:rPr>
          <w:rFonts w:hint="eastAsia" w:ascii="宋体" w:hAnsi="宋体" w:cs="宋体"/>
          <w:bCs/>
          <w:kern w:val="2"/>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rPr>
      </w:pPr>
      <w:r>
        <w:rPr>
          <w:rFonts w:hint="eastAsia" w:ascii="宋体" w:hAnsi="宋体" w:cs="宋体"/>
          <w:bCs/>
          <w:kern w:val="2"/>
        </w:rPr>
        <w:t>以</w:t>
      </w:r>
      <w:r>
        <w:rPr>
          <w:rFonts w:hint="eastAsia" w:ascii="宋体" w:hAnsi="宋体" w:cs="宋体"/>
          <w:bCs/>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rPr>
      </w:pPr>
      <w:r>
        <w:rPr>
          <w:rFonts w:hint="eastAsia" w:ascii="宋体" w:hAnsi="宋体" w:cs="宋体"/>
          <w:bCs/>
          <w:kern w:val="2"/>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17"/>
        <w:tabs>
          <w:tab w:val="left" w:pos="0"/>
        </w:tabs>
        <w:spacing w:line="360" w:lineRule="auto"/>
        <w:ind w:firstLine="480" w:firstLineChars="200"/>
        <w:rPr>
          <w:rFonts w:hint="eastAsia" w:ascii="宋体" w:hAnsi="宋体" w:cs="宋体"/>
          <w:bCs/>
          <w:kern w:val="2"/>
        </w:rPr>
      </w:pPr>
      <w:r>
        <w:rPr>
          <w:rFonts w:hint="eastAsia" w:ascii="宋体" w:hAnsi="宋体" w:cs="宋体"/>
          <w:bCs/>
          <w:kern w:val="2"/>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估值差错处理</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暂停估值情形</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理财计划投资所涉及的交易市场遇法定节假日或因其他原因暂停营业时暂停估值，该种情况理财计划估值日期提前到上一交易日。</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理财计划管理人、托管人有合理理由认为将影响本理财计划估值的其他情形发生。</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资产账册的建立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费用及税收</w:t>
      </w:r>
    </w:p>
    <w:p>
      <w:pPr>
        <w:numPr>
          <w:ilvl w:val="0"/>
          <w:numId w:val="35"/>
        </w:numPr>
        <w:spacing w:line="360" w:lineRule="auto"/>
        <w:ind w:firstLine="482" w:firstLineChars="200"/>
        <w:jc w:val="left"/>
        <w:outlineLvl w:val="2"/>
        <w:rPr>
          <w:rFonts w:hint="eastAsia" w:ascii="宋体" w:hAnsi="宋体" w:cs="宋体"/>
          <w:b/>
        </w:rPr>
      </w:pPr>
      <w:r>
        <w:rPr>
          <w:rFonts w:hint="eastAsia" w:ascii="宋体" w:hAnsi="宋体" w:cs="宋体"/>
          <w:b/>
        </w:rPr>
        <w:t>费用种类</w:t>
      </w:r>
    </w:p>
    <w:p>
      <w:pPr>
        <w:spacing w:line="360" w:lineRule="auto"/>
        <w:ind w:firstLine="480" w:firstLineChars="200"/>
        <w:jc w:val="left"/>
        <w:rPr>
          <w:rFonts w:ascii="宋体" w:hAnsi="宋体" w:cs="宋体"/>
          <w:b/>
        </w:rPr>
      </w:pPr>
      <w:r>
        <w:rPr>
          <w:rFonts w:hint="eastAsia" w:ascii="宋体" w:hAnsi="宋体" w:cs="宋体"/>
          <w:bCs/>
          <w:color w:val="000000"/>
        </w:rPr>
        <w:t>本理财计划涉及费用包括销售服务费、托管费、固定管理费、认购费、申购费、赎回费、浮动管理费以及理财计划运作和清算中产生的其他费用等。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2"/>
        <w:rPr>
          <w:rFonts w:hint="eastAsia" w:ascii="宋体" w:hAnsi="宋体" w:cs="宋体"/>
          <w:b/>
        </w:rPr>
      </w:pPr>
      <w:r>
        <w:rPr>
          <w:rFonts w:hint="eastAsia" w:ascii="宋体" w:hAnsi="宋体" w:cs="宋体"/>
          <w:b/>
        </w:rPr>
        <w:t>费用计提方法、标准及支付方式</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销售服务费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w:t>
      </w:r>
      <w:r>
        <w:rPr>
          <w:rFonts w:hint="eastAsia" w:ascii="宋体" w:hAnsi="宋体" w:cs="宋体"/>
          <w:bCs/>
          <w:color w:val="000000"/>
          <w:lang w:val="en-US" w:eastAsia="zh-CN"/>
        </w:rPr>
        <w:t>A份额</w:t>
      </w:r>
      <w:r>
        <w:rPr>
          <w:rFonts w:hint="eastAsia" w:ascii="宋体" w:hAnsi="宋体" w:cs="宋体"/>
          <w:bCs/>
          <w:color w:val="000000"/>
        </w:rPr>
        <w:t>的年化销售服务费率为</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w:t>
      </w:r>
      <w:r>
        <w:rPr>
          <w:rFonts w:hint="eastAsia" w:ascii="宋体" w:hAnsi="宋体" w:cs="宋体"/>
          <w:bCs/>
          <w:color w:val="000000"/>
          <w:lang w:val="en-US" w:eastAsia="zh-CN"/>
        </w:rPr>
        <w:t>以A份额为例，</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H为每日应计提的销售服务费</w:t>
      </w:r>
    </w:p>
    <w:p>
      <w:pPr>
        <w:spacing w:line="360" w:lineRule="auto"/>
        <w:ind w:firstLine="480" w:firstLineChars="200"/>
        <w:jc w:val="left"/>
        <w:rPr>
          <w:rFonts w:hint="eastAsia" w:ascii="宋体" w:hAnsi="宋体" w:cs="宋体"/>
          <w:bCs/>
          <w:color w:val="FF0000"/>
        </w:rPr>
      </w:pPr>
      <w:r>
        <w:rPr>
          <w:rFonts w:hint="eastAsia" w:ascii="宋体" w:hAnsi="宋体" w:cs="宋体"/>
          <w:bCs/>
          <w:color w:val="000000"/>
        </w:rPr>
        <w:t>E为</w:t>
      </w:r>
      <w:r>
        <w:rPr>
          <w:rFonts w:hint="eastAsia" w:ascii="宋体" w:hAnsi="宋体" w:cs="宋体"/>
          <w:bCs/>
          <w:color w:val="000000"/>
          <w:lang w:val="en-US" w:eastAsia="zh-CN"/>
        </w:rPr>
        <w:t>A份额</w:t>
      </w:r>
      <w:r>
        <w:rPr>
          <w:rFonts w:hint="eastAsia" w:ascii="宋体" w:hAnsi="宋体" w:cs="宋体"/>
          <w:bCs/>
          <w:color w:val="000000"/>
        </w:rPr>
        <w:t>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销售服务费原则上按日计提。</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托管费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理财计划财产的年化托管费为</w:t>
      </w:r>
      <w:r>
        <w:rPr>
          <w:rFonts w:hint="eastAsia" w:ascii="宋体" w:hAnsi="宋体" w:cs="宋体"/>
          <w:szCs w:val="21"/>
        </w:rPr>
        <w:t>〖</w:t>
      </w:r>
      <w:r>
        <w:rPr>
          <w:rFonts w:hint="eastAsia" w:ascii="宋体" w:hAnsi="宋体"/>
          <w:color w:val="000000"/>
        </w:rPr>
        <w:t>0.025</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w:t>
      </w:r>
      <w:r>
        <w:rPr>
          <w:rFonts w:hint="eastAsia" w:ascii="宋体" w:hAnsi="宋体"/>
          <w:color w:val="000000"/>
        </w:rPr>
        <w:t>0.025</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H为每日应计提的托管费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E为本理财计划前一日资产净值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托管费原则上按日计提。</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固定管理费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w:t>
      </w:r>
      <w:r>
        <w:rPr>
          <w:rFonts w:hint="eastAsia" w:ascii="宋体" w:hAnsi="宋体" w:cs="宋体"/>
          <w:bCs/>
          <w:color w:val="000000"/>
          <w:lang w:val="en-US" w:eastAsia="zh-CN"/>
        </w:rPr>
        <w:t>A份额</w:t>
      </w:r>
      <w:r>
        <w:rPr>
          <w:rFonts w:hint="eastAsia" w:ascii="宋体" w:hAnsi="宋体" w:cs="宋体"/>
          <w:bCs/>
          <w:color w:val="000000"/>
        </w:rPr>
        <w:t>的年化固定管理费率为</w:t>
      </w:r>
      <w:r>
        <w:rPr>
          <w:rFonts w:hint="eastAsia" w:ascii="宋体" w:hAnsi="宋体" w:cs="宋体"/>
          <w:szCs w:val="21"/>
        </w:rPr>
        <w:t>〖</w:t>
      </w:r>
      <w:r>
        <w:rPr>
          <w:rFonts w:hint="eastAsia" w:ascii="宋体" w:hAnsi="宋体"/>
          <w:color w:val="000000"/>
        </w:rPr>
        <w:t>0.</w:t>
      </w:r>
      <w:r>
        <w:rPr>
          <w:rFonts w:hint="eastAsia" w:ascii="宋体" w:hAnsi="宋体"/>
          <w:color w:val="000000"/>
          <w:lang w:val="en-US" w:eastAsia="zh-CN"/>
        </w:rPr>
        <w:t>2</w:t>
      </w:r>
      <w:r>
        <w:rPr>
          <w:rFonts w:hint="eastAsia" w:ascii="宋体" w:hAnsi="宋体"/>
          <w:color w:val="000000"/>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w:t>
      </w:r>
      <w:r>
        <w:rPr>
          <w:rFonts w:hint="eastAsia" w:ascii="宋体" w:hAnsi="宋体" w:cs="宋体"/>
          <w:bCs/>
          <w:color w:val="000000"/>
          <w:lang w:val="en-US" w:eastAsia="zh-CN"/>
        </w:rPr>
        <w:t>以A份额为例，</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w:t>
      </w:r>
      <w:r>
        <w:rPr>
          <w:rFonts w:hint="eastAsia" w:ascii="宋体" w:hAnsi="宋体"/>
          <w:color w:val="000000"/>
        </w:rPr>
        <w:t>0.</w:t>
      </w:r>
      <w:r>
        <w:rPr>
          <w:rFonts w:hint="eastAsia" w:ascii="宋体" w:hAnsi="宋体"/>
          <w:color w:val="000000"/>
          <w:lang w:val="en-US" w:eastAsia="zh-CN"/>
        </w:rPr>
        <w:t>2</w:t>
      </w:r>
      <w:r>
        <w:rPr>
          <w:rFonts w:hint="eastAsia" w:ascii="宋体" w:hAnsi="宋体"/>
          <w:color w:val="000000"/>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H为每日应计提的固定管理费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E为</w:t>
      </w:r>
      <w:r>
        <w:rPr>
          <w:rFonts w:hint="eastAsia" w:ascii="宋体" w:hAnsi="宋体" w:cs="宋体"/>
          <w:bCs/>
          <w:color w:val="000000"/>
          <w:lang w:val="en-US" w:eastAsia="zh-CN"/>
        </w:rPr>
        <w:t>A份额</w:t>
      </w:r>
      <w:r>
        <w:rPr>
          <w:rFonts w:hint="eastAsia" w:ascii="宋体" w:hAnsi="宋体" w:cs="宋体"/>
          <w:bCs/>
          <w:color w:val="000000"/>
        </w:rPr>
        <w:t>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固定管理费原则上按日计提，如理财计划实际运作结果不达业绩比较基准下限时，管理人有权减免固定管理费。</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认购费</w:t>
      </w:r>
    </w:p>
    <w:p>
      <w:pPr>
        <w:spacing w:line="360" w:lineRule="auto"/>
        <w:ind w:firstLine="480" w:firstLineChars="200"/>
        <w:jc w:val="left"/>
        <w:rPr>
          <w:rFonts w:hint="eastAsia" w:ascii="宋体" w:hAnsi="宋体" w:cs="宋体"/>
          <w:bCs/>
          <w:color w:val="FF0000"/>
        </w:rPr>
      </w:pPr>
      <w:r>
        <w:rPr>
          <w:rFonts w:hint="eastAsia" w:ascii="宋体" w:hAnsi="宋体" w:cs="宋体"/>
          <w:bCs/>
          <w:color w:val="000000"/>
        </w:rPr>
        <w:t>本理财计划免除认购费。</w:t>
      </w:r>
    </w:p>
    <w:p>
      <w:pPr>
        <w:numPr>
          <w:ilvl w:val="0"/>
          <w:numId w:val="37"/>
        </w:numPr>
        <w:spacing w:line="360" w:lineRule="auto"/>
        <w:ind w:firstLine="482" w:firstLineChars="200"/>
        <w:jc w:val="left"/>
        <w:rPr>
          <w:rFonts w:ascii="宋体" w:hAnsi="宋体" w:cs="宋体"/>
          <w:b/>
        </w:rPr>
      </w:pPr>
      <w:r>
        <w:rPr>
          <w:rFonts w:hint="eastAsia" w:ascii="宋体" w:hAnsi="宋体" w:cs="宋体"/>
          <w:b/>
        </w:rPr>
        <w:t>申购费</w:t>
      </w:r>
    </w:p>
    <w:p>
      <w:pPr>
        <w:spacing w:line="360" w:lineRule="auto"/>
        <w:ind w:firstLine="480" w:firstLineChars="200"/>
        <w:jc w:val="left"/>
        <w:rPr>
          <w:rFonts w:ascii="宋体" w:hAnsi="宋体" w:cs="宋体"/>
          <w:b/>
        </w:rPr>
      </w:pPr>
      <w:r>
        <w:rPr>
          <w:rFonts w:hint="eastAsia" w:ascii="宋体" w:hAnsi="宋体" w:cs="宋体"/>
          <w:bCs/>
          <w:color w:val="000000"/>
        </w:rPr>
        <w:t>本理财计划免除申购费。</w:t>
      </w:r>
    </w:p>
    <w:p>
      <w:pPr>
        <w:numPr>
          <w:ilvl w:val="0"/>
          <w:numId w:val="37"/>
        </w:numPr>
        <w:spacing w:line="360" w:lineRule="auto"/>
        <w:ind w:firstLine="482" w:firstLineChars="200"/>
        <w:jc w:val="left"/>
        <w:rPr>
          <w:rFonts w:ascii="宋体" w:hAnsi="宋体" w:cs="宋体"/>
          <w:b/>
        </w:rPr>
      </w:pPr>
      <w:r>
        <w:rPr>
          <w:rFonts w:hint="eastAsia" w:ascii="宋体" w:hAnsi="宋体" w:cs="宋体"/>
          <w:b/>
        </w:rPr>
        <w:t>赎回费</w:t>
      </w:r>
    </w:p>
    <w:p>
      <w:pPr>
        <w:spacing w:line="360" w:lineRule="auto"/>
        <w:ind w:firstLine="480" w:firstLineChars="200"/>
        <w:jc w:val="left"/>
        <w:rPr>
          <w:rFonts w:ascii="宋体" w:hAnsi="宋体" w:cs="宋体"/>
          <w:b/>
        </w:rPr>
      </w:pPr>
      <w:r>
        <w:rPr>
          <w:rFonts w:hint="eastAsia" w:ascii="宋体" w:hAnsi="宋体" w:cs="宋体"/>
          <w:bCs/>
          <w:color w:val="000000"/>
        </w:rPr>
        <w:t>本理财计划免除赎回费。</w:t>
      </w:r>
    </w:p>
    <w:p>
      <w:pPr>
        <w:numPr>
          <w:ilvl w:val="0"/>
          <w:numId w:val="38"/>
        </w:numPr>
        <w:spacing w:line="360" w:lineRule="auto"/>
        <w:ind w:firstLine="482" w:firstLineChars="200"/>
        <w:jc w:val="left"/>
        <w:rPr>
          <w:rFonts w:hint="eastAsia" w:ascii="宋体" w:hAnsi="宋体" w:cs="宋体"/>
          <w:b/>
        </w:rPr>
      </w:pPr>
      <w:r>
        <w:rPr>
          <w:rFonts w:hint="eastAsia" w:ascii="宋体" w:hAnsi="宋体" w:cs="宋体"/>
          <w:b/>
        </w:rPr>
        <w:t>浮动管理费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本理财计划免除浮动管理费。</w:t>
      </w:r>
    </w:p>
    <w:p>
      <w:pPr>
        <w:numPr>
          <w:ilvl w:val="0"/>
          <w:numId w:val="39"/>
        </w:numPr>
        <w:spacing w:line="360" w:lineRule="auto"/>
        <w:ind w:firstLine="482" w:firstLineChars="200"/>
        <w:jc w:val="left"/>
        <w:rPr>
          <w:rFonts w:hint="eastAsia" w:ascii="宋体" w:hAnsi="宋体" w:cs="宋体"/>
          <w:b/>
        </w:rPr>
      </w:pPr>
      <w:r>
        <w:rPr>
          <w:rFonts w:hint="eastAsia" w:ascii="宋体" w:hAnsi="宋体" w:cs="宋体"/>
          <w:b/>
        </w:rPr>
        <w:t>其他费用</w:t>
      </w:r>
    </w:p>
    <w:p>
      <w:pPr>
        <w:spacing w:line="360" w:lineRule="auto"/>
        <w:ind w:firstLine="480" w:firstLineChars="200"/>
        <w:jc w:val="left"/>
        <w:rPr>
          <w:rFonts w:ascii="宋体" w:hAnsi="宋体" w:cs="宋体"/>
          <w:bCs/>
          <w:color w:val="000000"/>
        </w:rPr>
      </w:pPr>
      <w:r>
        <w:rPr>
          <w:rFonts w:hint="eastAsia" w:ascii="宋体" w:hAnsi="宋体" w:cs="宋体"/>
          <w:bCs/>
          <w:color w:val="000000"/>
        </w:rPr>
        <w:t>除上述费用外，由受托管理资产承担的费用包括但不限于：</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财产管理、运用或处分过程中发生的税费。</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代理机构手续费、管理费、财务顾问费、保管费。</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审计费、律师费、公证费等费用。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监管规定的其他费用。</w:t>
      </w:r>
    </w:p>
    <w:p>
      <w:pPr>
        <w:spacing w:line="360" w:lineRule="auto"/>
        <w:ind w:firstLine="482" w:firstLineChars="200"/>
        <w:jc w:val="left"/>
        <w:rPr>
          <w:rFonts w:ascii="宋体" w:hAnsi="宋体" w:cs="宋体"/>
          <w:bCs/>
        </w:rPr>
      </w:pPr>
      <w:r>
        <w:rPr>
          <w:rFonts w:hint="eastAsia" w:ascii="宋体" w:hAnsi="宋体" w:cs="宋体"/>
          <w:b/>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2"/>
        <w:rPr>
          <w:rFonts w:hint="eastAsia" w:ascii="宋体" w:hAnsi="宋体" w:cs="宋体"/>
          <w:b/>
        </w:rPr>
      </w:pPr>
      <w:r>
        <w:rPr>
          <w:rFonts w:hint="eastAsia" w:ascii="宋体" w:hAnsi="宋体" w:cs="宋体"/>
          <w:b/>
        </w:rPr>
        <w:t>税收说明</w:t>
      </w:r>
    </w:p>
    <w:p>
      <w:pPr>
        <w:numPr>
          <w:ilvl w:val="0"/>
          <w:numId w:val="42"/>
        </w:numPr>
        <w:spacing w:line="360" w:lineRule="auto"/>
        <w:ind w:firstLine="480" w:firstLineChars="200"/>
        <w:jc w:val="left"/>
      </w:pPr>
      <w:r>
        <w:rPr>
          <w:rFonts w:hint="eastAsia" w:ascii="宋体" w:hAnsi="宋体" w:cs="宋体"/>
          <w:bCs/>
          <w:color w:val="000000"/>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rPr>
      </w:pPr>
      <w:r>
        <w:rPr>
          <w:rFonts w:hint="eastAsia" w:ascii="宋体" w:hAnsi="宋体" w:cs="宋体"/>
          <w:bCs/>
          <w:color w:val="000000"/>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收益计算</w:t>
      </w:r>
    </w:p>
    <w:p>
      <w:pPr>
        <w:numPr>
          <w:ilvl w:val="0"/>
          <w:numId w:val="43"/>
        </w:numPr>
        <w:spacing w:line="360" w:lineRule="auto"/>
        <w:ind w:firstLine="482" w:firstLineChars="200"/>
        <w:jc w:val="left"/>
        <w:outlineLvl w:val="2"/>
        <w:rPr>
          <w:rFonts w:hint="eastAsia" w:ascii="宋体" w:hAnsi="宋体" w:cs="宋体"/>
          <w:b/>
        </w:rPr>
      </w:pPr>
      <w:r>
        <w:rPr>
          <w:rFonts w:hint="eastAsia" w:ascii="宋体" w:hAnsi="宋体" w:cs="宋体"/>
          <w:b/>
        </w:rPr>
        <w:t>计算公式</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投资者理财收益＝赎回份额×赎回确认日（提前终止日）前一日单位净值-认购或申购金额+</w:t>
      </w:r>
      <w:r>
        <w:rPr>
          <w:rFonts w:hint="eastAsia" w:ascii="宋体" w:hAnsi="宋体" w:cs="宋体"/>
          <w:bCs/>
        </w:rPr>
        <w:t>份额持有期间累计分红（如有）</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份额=认购或申购金额/认购或申购确认日前一日单位净值。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赎回确认日（提前终止日）前一日的单位净值为提取相关费用及税费后的单位理财计划份额净值。</w:t>
      </w:r>
    </w:p>
    <w:p>
      <w:pPr>
        <w:numPr>
          <w:ilvl w:val="0"/>
          <w:numId w:val="43"/>
        </w:numPr>
        <w:spacing w:line="360" w:lineRule="auto"/>
        <w:jc w:val="left"/>
        <w:outlineLvl w:val="2"/>
        <w:rPr>
          <w:rFonts w:hint="eastAsia" w:ascii="宋体" w:hAnsi="宋体" w:cs="宋体"/>
          <w:bCs/>
          <w:color w:val="000000"/>
        </w:rPr>
      </w:pPr>
      <w:r>
        <w:rPr>
          <w:rFonts w:hint="eastAsia" w:ascii="宋体" w:hAnsi="宋体" w:cs="宋体"/>
          <w:b/>
        </w:rPr>
        <w:t>示例说明</w:t>
      </w:r>
    </w:p>
    <w:p>
      <w:pPr>
        <w:numPr>
          <w:ilvl w:val="0"/>
          <w:numId w:val="44"/>
        </w:numPr>
        <w:spacing w:line="360" w:lineRule="auto"/>
        <w:ind w:firstLine="482" w:firstLineChars="200"/>
        <w:jc w:val="left"/>
        <w:rPr>
          <w:rFonts w:hint="eastAsia" w:ascii="宋体" w:hAnsi="宋体" w:cs="宋体"/>
          <w:b/>
        </w:rPr>
      </w:pPr>
      <w:r>
        <w:rPr>
          <w:rFonts w:hint="eastAsia" w:ascii="宋体" w:hAnsi="宋体" w:cs="宋体"/>
          <w:b/>
        </w:rPr>
        <w:t>示例一</w:t>
      </w:r>
    </w:p>
    <w:p>
      <w:pPr>
        <w:spacing w:line="360" w:lineRule="auto"/>
        <w:ind w:firstLine="482" w:firstLineChars="200"/>
        <w:jc w:val="left"/>
        <w:rPr>
          <w:rFonts w:hint="eastAsia" w:ascii="宋体" w:hAnsi="宋体" w:cs="宋体"/>
          <w:bCs/>
          <w:color w:val="000000"/>
        </w:rPr>
      </w:pPr>
      <w:r>
        <w:rPr>
          <w:rFonts w:hint="eastAsia" w:ascii="宋体" w:hAnsi="宋体" w:cs="宋体"/>
          <w:b/>
          <w:color w:val="000000"/>
        </w:rPr>
        <w:t>扣除托管费、固定管理费、销售服务费（如有）后，投资产生盈利。</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以某投资者投资10万元</w:t>
      </w:r>
      <w:r>
        <w:rPr>
          <w:rFonts w:hint="eastAsia" w:ascii="宋体" w:hAnsi="宋体" w:cs="宋体"/>
          <w:bCs/>
          <w:color w:val="000000"/>
          <w:lang w:val="en-US" w:eastAsia="zh-CN"/>
        </w:rPr>
        <w:t>A份额</w:t>
      </w:r>
      <w:r>
        <w:rPr>
          <w:rFonts w:hint="eastAsia" w:ascii="宋体" w:hAnsi="宋体" w:cs="宋体"/>
          <w:bCs/>
          <w:color w:val="000000"/>
        </w:rPr>
        <w:t>为例，假设购买时理财计划净值为1.00元，折算份额为100,000.00份,假设投资理财计划362天后，</w:t>
      </w:r>
      <w:r>
        <w:rPr>
          <w:rFonts w:hint="eastAsia" w:ascii="宋体" w:hAnsi="宋体"/>
        </w:rPr>
        <w:t>赎回份额</w:t>
      </w:r>
      <w:r>
        <w:rPr>
          <w:rFonts w:hint="eastAsia" w:ascii="宋体" w:hAnsi="宋体" w:cs="宋体"/>
          <w:bCs/>
          <w:color w:val="000000"/>
        </w:rPr>
        <w:t>100,000.00</w:t>
      </w:r>
      <w:r>
        <w:rPr>
          <w:rFonts w:hint="eastAsia" w:ascii="宋体" w:hAnsi="宋体"/>
        </w:rPr>
        <w:t>份</w:t>
      </w:r>
      <w:r>
        <w:rPr>
          <w:rFonts w:hint="eastAsia" w:ascii="宋体" w:hAnsi="宋体" w:cs="宋体"/>
          <w:bCs/>
          <w:color w:val="000000"/>
        </w:rPr>
        <w:t>，期间无分红。赎回时假设管理人扣除托管费、固定管理费、销售服务费（如有）后，如理财计划净值为1.0615，此时，(1.0615/1.00-1)×365/362=6.20%</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投资者最终收益为：</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100,000.00×（1.0615-1.00）=6,150.00（元），理财计划到期时，投资者获得的实际收益相当于达到年化收益率水平为：6,150.00/100,000.00×365/362=6.20%。</w:t>
      </w:r>
    </w:p>
    <w:p>
      <w:pPr>
        <w:numPr>
          <w:ilvl w:val="0"/>
          <w:numId w:val="44"/>
        </w:numPr>
        <w:spacing w:line="360" w:lineRule="auto"/>
        <w:ind w:firstLine="482" w:firstLineChars="200"/>
        <w:jc w:val="left"/>
        <w:rPr>
          <w:rFonts w:ascii="宋体" w:hAnsi="宋体" w:cs="宋体"/>
          <w:b/>
        </w:rPr>
      </w:pPr>
      <w:r>
        <w:rPr>
          <w:rFonts w:hint="eastAsia" w:ascii="宋体" w:hAnsi="宋体" w:cs="宋体"/>
          <w:b/>
        </w:rPr>
        <w:t>示例二</w:t>
      </w:r>
    </w:p>
    <w:p>
      <w:pPr>
        <w:spacing w:line="360" w:lineRule="auto"/>
        <w:ind w:firstLine="482" w:firstLineChars="200"/>
        <w:jc w:val="left"/>
        <w:rPr>
          <w:rFonts w:hint="eastAsia" w:ascii="宋体" w:hAnsi="宋体" w:cs="宋体"/>
          <w:b/>
          <w:color w:val="000000"/>
        </w:rPr>
      </w:pPr>
      <w:r>
        <w:rPr>
          <w:rFonts w:hint="eastAsia" w:ascii="宋体" w:hAnsi="宋体" w:cs="宋体"/>
          <w:b/>
          <w:color w:val="000000"/>
        </w:rPr>
        <w:t>扣除托管费、固定管理费、销售服务费（如有）后，投资发生亏损。</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以某投资者投资10万元</w:t>
      </w:r>
      <w:r>
        <w:rPr>
          <w:rFonts w:hint="eastAsia" w:ascii="宋体" w:hAnsi="宋体" w:cs="宋体"/>
          <w:bCs/>
          <w:color w:val="000000"/>
          <w:lang w:val="en-US" w:eastAsia="zh-CN"/>
        </w:rPr>
        <w:t>A份额</w:t>
      </w:r>
      <w:r>
        <w:rPr>
          <w:rFonts w:hint="eastAsia" w:ascii="宋体" w:hAnsi="宋体" w:cs="宋体"/>
          <w:bCs/>
          <w:color w:val="000000"/>
        </w:rPr>
        <w:t>为例，假设购买时理财计划净值为1.00元，折算份额为100,000.00份，假设投资理财计划362天后，</w:t>
      </w:r>
      <w:r>
        <w:rPr>
          <w:rFonts w:hint="eastAsia" w:ascii="宋体" w:hAnsi="宋体"/>
        </w:rPr>
        <w:t>赎回份额</w:t>
      </w:r>
      <w:r>
        <w:rPr>
          <w:rFonts w:hint="eastAsia" w:ascii="宋体" w:hAnsi="宋体" w:cs="宋体"/>
          <w:bCs/>
          <w:color w:val="000000"/>
        </w:rPr>
        <w:t>100,000.00</w:t>
      </w:r>
      <w:r>
        <w:rPr>
          <w:rFonts w:hint="eastAsia" w:ascii="宋体" w:hAnsi="宋体"/>
        </w:rPr>
        <w:t>份</w:t>
      </w:r>
      <w:r>
        <w:rPr>
          <w:rFonts w:hint="eastAsia" w:ascii="宋体" w:hAnsi="宋体" w:cs="宋体"/>
          <w:bCs/>
          <w:color w:val="000000"/>
        </w:rPr>
        <w:t>，期间无分红。赎回时假设管理人扣除托管费、固定管理费、销售服务费（如有）后，如理财计划净值为0.9975，投资者最终收益为：100,000.00×（0.9975-1.00）=-250.00（元）。</w:t>
      </w:r>
    </w:p>
    <w:p>
      <w:pPr>
        <w:numPr>
          <w:ilvl w:val="0"/>
          <w:numId w:val="43"/>
        </w:numPr>
        <w:spacing w:line="360" w:lineRule="auto"/>
        <w:ind w:firstLine="482" w:firstLineChars="200"/>
        <w:jc w:val="left"/>
        <w:outlineLvl w:val="2"/>
        <w:rPr>
          <w:rFonts w:hint="eastAsia" w:ascii="宋体" w:hAnsi="宋体" w:cs="宋体"/>
          <w:b/>
        </w:rPr>
      </w:pPr>
      <w:r>
        <w:rPr>
          <w:rFonts w:hint="eastAsia" w:ascii="宋体" w:hAnsi="宋体" w:cs="宋体"/>
          <w:b/>
        </w:rPr>
        <w:t>最不利情况分析</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由于市场波动导致投资资产贬值或者投资资产发生信用风险导致相应损失，使理财计划赎回或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交易规则</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认购</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具体以销售机构要求为准）。</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理财计划认购期内，投资者可以对本理财计划进行认购、追加、撤单，相应投资资金将在投资者指定账户中冻结。</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如新增认购使得单一投资者持有份额比例超过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成立</w:t>
      </w:r>
    </w:p>
    <w:p>
      <w:pPr>
        <w:numPr>
          <w:ilvl w:val="0"/>
          <w:numId w:val="47"/>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销售机构有权以投资者的投资金额为限从投资者理财账户中进行资金扣划，无需投资者另行授权。</w:t>
      </w:r>
    </w:p>
    <w:p>
      <w:pPr>
        <w:numPr>
          <w:ilvl w:val="0"/>
          <w:numId w:val="47"/>
        </w:numPr>
        <w:spacing w:line="360" w:lineRule="auto"/>
        <w:ind w:firstLine="480" w:firstLineChars="200"/>
        <w:jc w:val="left"/>
        <w:rPr>
          <w:rFonts w:hint="eastAsia" w:ascii="宋体" w:hAnsi="宋体" w:cs="宋体"/>
          <w:b/>
        </w:rPr>
      </w:pPr>
      <w:r>
        <w:rPr>
          <w:rFonts w:hint="eastAsia" w:ascii="宋体" w:hAnsi="宋体" w:cs="宋体"/>
          <w:bCs/>
          <w:color w:val="000000"/>
        </w:rPr>
        <w:t>管理人将在理财计划成立日对认购期的认购及追加申请进行确认和划款。</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申购及赎回</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交易确认及时间</w:t>
      </w:r>
    </w:p>
    <w:p>
      <w:pPr>
        <w:numPr>
          <w:ilvl w:val="0"/>
          <w:numId w:val="49"/>
        </w:numPr>
        <w:spacing w:line="360" w:lineRule="auto"/>
        <w:ind w:firstLine="480" w:firstLineChars="200"/>
        <w:jc w:val="left"/>
        <w:rPr>
          <w:rFonts w:hint="eastAsia" w:ascii="宋体" w:hAnsi="宋体" w:cs="宋体"/>
          <w:bCs/>
        </w:rPr>
      </w:pPr>
      <w:r>
        <w:rPr>
          <w:rFonts w:hint="eastAsia" w:ascii="宋体" w:hAnsi="宋体" w:cs="宋体"/>
          <w:bCs/>
        </w:rPr>
        <w:t>本理财计划在每个开放期的开放日工作时间可进行申购和赎回，申购和赎回申请将在确认日进行确认，即开放期后的第〖1〗个工作日进行确认。</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工作时间为每个工作日上午〖9:00〗至下午〖17:00〗。</w:t>
      </w:r>
      <w:r>
        <w:rPr>
          <w:rFonts w:hint="eastAsia" w:ascii="宋体" w:hAnsi="宋体" w:cs="宋体"/>
          <w:color w:val="000000"/>
          <w:kern w:val="0"/>
        </w:rPr>
        <w:t>（具体以销售机构规定为准）</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如</w:t>
      </w:r>
      <w:r>
        <w:rPr>
          <w:rFonts w:hint="eastAsia" w:ascii="宋体" w:hAnsi="宋体" w:cs="宋体"/>
          <w:bCs/>
          <w:color w:val="000000"/>
        </w:rPr>
        <w:t>新增申购使得单一投资者持有份额比例超过50％，管理人将不再接受超出部分的申购申请。非因投资管理人主观因素导致突破前款规定比例限制的，在单一投资者持有比例降至50％以下之前，管理人将不再接受该投资者对该理财产品的申购申请。投资者持有份额的计算以管理人登记为准。</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到账时间</w:t>
      </w:r>
    </w:p>
    <w:p>
      <w:pPr>
        <w:spacing w:line="360" w:lineRule="auto"/>
        <w:ind w:firstLine="480" w:firstLineChars="200"/>
        <w:jc w:val="left"/>
        <w:rPr>
          <w:rFonts w:ascii="宋体" w:hAnsi="宋体" w:cs="宋体"/>
          <w:bCs/>
        </w:rPr>
      </w:pPr>
      <w:r>
        <w:rPr>
          <w:rFonts w:hint="eastAsia" w:ascii="宋体" w:hAnsi="宋体" w:cs="宋体"/>
          <w:bCs/>
        </w:rPr>
        <w:t>赎回资金确认后，最快〖1〗个工作日，最晚〖3〗个工作日内（遇节假日顺延）理财资金与收益将一次性支付。如遇资金在途或法定工作日调整，实际资金到账日以公告为准。</w:t>
      </w:r>
      <w:r>
        <w:rPr>
          <w:rFonts w:hint="eastAsia" w:ascii="宋体" w:hAnsi="宋体" w:cs="宋体"/>
          <w:color w:val="000000"/>
          <w:kern w:val="0"/>
        </w:rPr>
        <w:t>（具体以销售机构规定为准）</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巨额赎回处理</w:t>
      </w:r>
    </w:p>
    <w:p>
      <w:pPr>
        <w:numPr>
          <w:ilvl w:val="0"/>
          <w:numId w:val="50"/>
        </w:numPr>
        <w:spacing w:line="360" w:lineRule="auto"/>
        <w:ind w:firstLine="480" w:firstLineChars="200"/>
        <w:jc w:val="left"/>
        <w:rPr>
          <w:rFonts w:hint="eastAsia" w:ascii="宋体" w:hAnsi="宋体" w:cs="宋体"/>
          <w:bCs/>
        </w:rPr>
      </w:pPr>
      <w:r>
        <w:rPr>
          <w:rFonts w:hint="eastAsia" w:ascii="宋体" w:hAnsi="宋体" w:cs="宋体"/>
          <w:bCs/>
        </w:rPr>
        <w:t>巨额赎回认定</w:t>
      </w:r>
    </w:p>
    <w:p>
      <w:pPr>
        <w:spacing w:line="360" w:lineRule="auto"/>
        <w:ind w:firstLine="480" w:firstLineChars="200"/>
        <w:jc w:val="left"/>
        <w:rPr>
          <w:rFonts w:ascii="宋体" w:hAnsi="宋体" w:cs="宋体"/>
          <w:bCs/>
        </w:rPr>
      </w:pPr>
      <w:r>
        <w:rPr>
          <w:rFonts w:hint="eastAsia" w:ascii="宋体" w:hAnsi="宋体" w:cs="宋体"/>
          <w:bCs/>
        </w:rPr>
        <w:t>理财计划存续期内，若理财计划开放日净赎回申请份额超过上一日日终理财计划总份额〖10%〗时，即构成巨额赎回。</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巨额赎回处理</w:t>
      </w:r>
    </w:p>
    <w:p>
      <w:pPr>
        <w:spacing w:line="360" w:lineRule="auto"/>
        <w:ind w:firstLine="480" w:firstLineChars="200"/>
        <w:jc w:val="left"/>
        <w:rPr>
          <w:rFonts w:ascii="宋体" w:hAnsi="宋体" w:cs="宋体"/>
          <w:bCs/>
        </w:rPr>
      </w:pPr>
      <w:r>
        <w:rPr>
          <w:rFonts w:hint="eastAsia" w:ascii="宋体" w:hAnsi="宋体" w:cs="宋体"/>
          <w:bCs/>
        </w:rPr>
        <w:t>当出现巨额赎回时，管理人可以根据资产组合状况决定采取全额赎回或拒绝超出部分的赎回申请。如连续2日（含）以上开放日发生巨额赎回，对于已经接受的赎回申请，管理人可以延缓支付赎回款项，但延缓期限不得超过5个工作日。</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全部赎回</w:t>
      </w:r>
    </w:p>
    <w:p>
      <w:pPr>
        <w:spacing w:line="360" w:lineRule="auto"/>
        <w:ind w:firstLine="480" w:firstLineChars="200"/>
        <w:jc w:val="left"/>
        <w:rPr>
          <w:rFonts w:ascii="宋体" w:hAnsi="宋体" w:cs="宋体"/>
          <w:bCs/>
        </w:rPr>
      </w:pPr>
      <w:r>
        <w:rPr>
          <w:rFonts w:hint="eastAsia" w:ascii="宋体" w:hAnsi="宋体" w:cs="宋体"/>
          <w:bCs/>
        </w:rPr>
        <w:t>当管理人认为全额兑付投资者的赎回申请将不会对本理财计划净值造成较大波动或给本理财计划造成重大损失时，按正常赎回程序执行。</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拒绝超出部分的赎回申请</w:t>
      </w:r>
    </w:p>
    <w:p>
      <w:pPr>
        <w:spacing w:line="360" w:lineRule="auto"/>
        <w:ind w:firstLine="480" w:firstLineChars="200"/>
        <w:jc w:val="left"/>
        <w:rPr>
          <w:rFonts w:hint="eastAsia" w:ascii="宋体" w:hAnsi="宋体" w:cs="宋体"/>
          <w:bCs/>
        </w:rPr>
      </w:pPr>
      <w:r>
        <w:rPr>
          <w:rFonts w:hint="eastAsia" w:ascii="宋体" w:hAnsi="宋体" w:cs="宋体"/>
          <w:bCs/>
        </w:rPr>
        <w:t>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赎回开放期重新进行赎回申请。</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在理财计划存续期内，管理人有权根据市场情况调整巨额赎回金额比例，并及时进行对外公告。</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暂停申购、赎回及延期支付赎回的情形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发生以下情形，管理人可暂停接受全部或部分投资者的申购申请：</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理财计划资产规模过大，继续接受申购可能对理财计划业绩产生负面影响，从而损害现有份额持有人利益的情形时。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当管理人认为某笔申购申请会有损于其他份额持有人利益的情形时。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发生产品说明书约定的暂停估值的情形时。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发生以下情形，对超出前一日终理财产品总份额10%的赎回申请，管理人可暂停接受全部或部分、延期办理投资者的赎回申请：</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理财计划发生巨额赎回情形时。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当继续</w:t>
      </w:r>
      <w:r>
        <w:rPr>
          <w:rFonts w:ascii="宋体" w:hAnsi="宋体" w:cs="宋体"/>
          <w:bCs/>
        </w:rPr>
        <w:t>接受赎回申请将损害存量投资者利益的情形</w:t>
      </w:r>
      <w:r>
        <w:rPr>
          <w:rFonts w:hint="eastAsia" w:ascii="宋体" w:hAnsi="宋体" w:cs="宋体"/>
          <w:bCs/>
        </w:rPr>
        <w:t>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当</w:t>
      </w:r>
      <w:r>
        <w:rPr>
          <w:rFonts w:ascii="宋体" w:hAnsi="宋体" w:cs="宋体"/>
          <w:bCs/>
        </w:rPr>
        <w:t>前一估值日</w:t>
      </w:r>
      <w:r>
        <w:rPr>
          <w:rFonts w:hint="eastAsia" w:ascii="宋体" w:hAnsi="宋体" w:cs="宋体"/>
          <w:bCs/>
        </w:rPr>
        <w:t>理财计划</w:t>
      </w:r>
      <w:r>
        <w:rPr>
          <w:rFonts w:ascii="宋体" w:hAnsi="宋体" w:cs="宋体"/>
          <w:bCs/>
        </w:rPr>
        <w:t>资产净值50%以上的资产不具备活跃交易市场或者在活跃市场中无报价，且不能采用估值技术可靠计量公允价值</w:t>
      </w:r>
      <w:r>
        <w:rPr>
          <w:rFonts w:hint="eastAsia" w:ascii="宋体" w:hAnsi="宋体" w:cs="宋体"/>
          <w:bCs/>
        </w:rPr>
        <w:t>的情形</w:t>
      </w:r>
      <w:r>
        <w:rPr>
          <w:rFonts w:ascii="宋体" w:hAnsi="宋体" w:cs="宋体"/>
          <w:bCs/>
        </w:rPr>
        <w:t>时</w:t>
      </w:r>
      <w:r>
        <w:rPr>
          <w:rFonts w:hint="eastAsia" w:ascii="宋体" w:hAnsi="宋体" w:cs="宋体"/>
          <w:bCs/>
        </w:rPr>
        <w:t>。</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发生产品说明书约定的暂停估值的情形时。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发生以下情形，管理人对已接受的赎回申请，可延期支付赎回款项：</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因不可抗力等原因，导致管理人接受赎回申请后无法及时兑付的情形时。</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连续</w:t>
      </w:r>
      <w:r>
        <w:rPr>
          <w:rFonts w:ascii="宋体" w:hAnsi="宋体" w:cs="宋体"/>
          <w:bCs/>
        </w:rPr>
        <w:t>2</w:t>
      </w:r>
      <w:r>
        <w:rPr>
          <w:rFonts w:hint="eastAsia" w:ascii="宋体" w:hAnsi="宋体" w:cs="宋体"/>
          <w:bCs/>
        </w:rPr>
        <w:t>日</w:t>
      </w:r>
      <w:r>
        <w:rPr>
          <w:rFonts w:ascii="宋体" w:hAnsi="宋体" w:cs="宋体"/>
          <w:bCs/>
        </w:rPr>
        <w:t>（含）以上开放日发生巨额赎回的</w:t>
      </w:r>
      <w:r>
        <w:rPr>
          <w:rFonts w:hint="eastAsia" w:ascii="宋体" w:hAnsi="宋体" w:cs="宋体"/>
          <w:bCs/>
        </w:rPr>
        <w:t>情形时。</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当前</w:t>
      </w:r>
      <w:r>
        <w:rPr>
          <w:rFonts w:ascii="宋体" w:hAnsi="宋体" w:cs="宋体"/>
          <w:bCs/>
        </w:rPr>
        <w:t>一估值日</w:t>
      </w:r>
      <w:r>
        <w:rPr>
          <w:rFonts w:hint="eastAsia" w:ascii="宋体" w:hAnsi="宋体" w:cs="宋体"/>
          <w:bCs/>
        </w:rPr>
        <w:t>理财计划</w:t>
      </w:r>
      <w:r>
        <w:rPr>
          <w:rFonts w:ascii="宋体" w:hAnsi="宋体" w:cs="宋体"/>
          <w:bCs/>
        </w:rPr>
        <w:t>资产净值50%以上的资产不具备活跃交易市场或者在活跃市场中无报价，且不能采用估值技术可靠计量公允价值</w:t>
      </w:r>
      <w:r>
        <w:rPr>
          <w:rFonts w:hint="eastAsia" w:ascii="宋体" w:hAnsi="宋体" w:cs="宋体"/>
          <w:bCs/>
        </w:rPr>
        <w:t>的情形</w:t>
      </w:r>
      <w:r>
        <w:rPr>
          <w:rFonts w:ascii="宋体" w:hAnsi="宋体" w:cs="宋体"/>
          <w:bCs/>
        </w:rPr>
        <w:t>时</w:t>
      </w:r>
      <w:r>
        <w:rPr>
          <w:rFonts w:hint="eastAsia" w:ascii="宋体" w:hAnsi="宋体" w:cs="宋体"/>
          <w:bCs/>
        </w:rPr>
        <w:t>。</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到期清算</w:t>
      </w:r>
    </w:p>
    <w:p>
      <w:pPr>
        <w:spacing w:line="360" w:lineRule="auto"/>
        <w:ind w:firstLine="480" w:firstLineChars="200"/>
        <w:jc w:val="left"/>
        <w:rPr>
          <w:rFonts w:ascii="宋体" w:hAnsi="宋体" w:cs="宋体"/>
          <w:bCs/>
        </w:rPr>
      </w:pPr>
      <w:r>
        <w:rPr>
          <w:rFonts w:hint="eastAsia" w:ascii="宋体" w:hAnsi="宋体" w:cs="宋体"/>
          <w:bCs/>
        </w:rPr>
        <w:t>正常到期清算：本理财计划终止后，管理人将按照清算后的资产净值按持有份额比例对投资者进行分配，并通过销售机构最快〖1〗个工作日、最晚〖3〗个工作日内（遇节假日顺延）将资金按规定的要求划入投资者授权指定的理财账户。</w:t>
      </w:r>
      <w:r>
        <w:rPr>
          <w:rFonts w:hint="eastAsia" w:ascii="宋体" w:hAnsi="宋体" w:cs="宋体"/>
          <w:color w:val="000000"/>
          <w:kern w:val="0"/>
        </w:rPr>
        <w:t>（具体以销售机构规定为准）</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提前终止</w:t>
      </w:r>
    </w:p>
    <w:p>
      <w:pPr>
        <w:spacing w:line="360" w:lineRule="auto"/>
        <w:ind w:firstLine="480" w:firstLineChars="200"/>
        <w:jc w:val="left"/>
        <w:rPr>
          <w:rFonts w:hint="eastAsia" w:ascii="宋体" w:hAnsi="宋体" w:cs="宋体"/>
          <w:bCs/>
        </w:rPr>
      </w:pPr>
      <w:r>
        <w:rPr>
          <w:rFonts w:hint="eastAsia" w:ascii="宋体" w:hAnsi="宋体" w:cs="宋体"/>
          <w:bCs/>
        </w:rPr>
        <w:t>在理财计划期限内，管理人根据投资情况有提前终止权，于本理财计划提前终止日前</w:t>
      </w:r>
      <w:r>
        <w:rPr>
          <w:rFonts w:hint="eastAsia" w:ascii="宋体" w:hAnsi="宋体" w:cs="宋体"/>
        </w:rPr>
        <w:t>〖1</w:t>
      </w:r>
      <w:r>
        <w:rPr>
          <w:rFonts w:hint="eastAsia" w:ascii="宋体" w:hAnsi="宋体" w:cs="宋体"/>
          <w:bCs/>
          <w:color w:val="000000"/>
        </w:rPr>
        <w:t>〗</w:t>
      </w:r>
      <w:r>
        <w:rPr>
          <w:rFonts w:hint="eastAsia" w:ascii="宋体" w:hAnsi="宋体" w:cs="宋体"/>
          <w:bCs/>
        </w:rPr>
        <w:t>个工作日通过管理人或销售机构发布提前终止公告，并于终止日后</w:t>
      </w:r>
      <w:r>
        <w:rPr>
          <w:rFonts w:hint="eastAsia" w:ascii="宋体" w:hAnsi="宋体" w:cs="宋体"/>
        </w:rPr>
        <w:t>〖</w:t>
      </w:r>
      <w:r>
        <w:rPr>
          <w:rFonts w:hint="eastAsia" w:ascii="宋体" w:hAnsi="宋体" w:cs="宋体"/>
          <w:szCs w:val="21"/>
        </w:rPr>
        <w:t>3</w:t>
      </w:r>
      <w:r>
        <w:rPr>
          <w:rFonts w:hint="eastAsia" w:ascii="宋体" w:hAnsi="宋体" w:cs="宋体"/>
          <w:bCs/>
          <w:color w:val="000000"/>
        </w:rPr>
        <w:t>〗</w:t>
      </w:r>
      <w:r>
        <w:rPr>
          <w:rFonts w:hint="eastAsia" w:ascii="宋体" w:hAnsi="宋体" w:cs="宋体"/>
          <w:bCs/>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rPr>
      </w:pPr>
      <w:r>
        <w:rPr>
          <w:rFonts w:hint="eastAsia" w:ascii="宋体" w:hAnsi="宋体" w:cs="宋体"/>
          <w:b/>
        </w:rPr>
        <w:t>如发生以下事项时，管理人可对本理财计划行使全部或部分提前终止权：</w:t>
      </w:r>
    </w:p>
    <w:p>
      <w:pPr>
        <w:numPr>
          <w:ilvl w:val="0"/>
          <w:numId w:val="54"/>
        </w:numPr>
        <w:spacing w:line="360" w:lineRule="auto"/>
        <w:ind w:firstLine="482" w:firstLineChars="200"/>
        <w:jc w:val="left"/>
        <w:rPr>
          <w:rFonts w:ascii="宋体" w:hAnsi="宋体" w:cs="宋体"/>
          <w:b/>
        </w:rPr>
      </w:pPr>
      <w:r>
        <w:rPr>
          <w:rFonts w:hint="eastAsia" w:ascii="宋体" w:hAnsi="宋体" w:cs="宋体"/>
          <w:b/>
        </w:rPr>
        <w:t>如因本理财计划资产运作模式等与法律法规、规章的规定或者监管部门的要求等存在冲突导致理财计划必须提前终止的。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国家有关法律、法规、规章、政策的改变、紧急措施的出台、理财市场环境发生重大变化等导致理财计划必须提前终止的。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因不可抗力因素导致本理财计划必须提前终止的。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理财计划的投资策略已不适合当前的市场环境的。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市场收益率大幅波动，可能或实质影响理财计划投资收益的。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融资人行使提前到期或还款权利的。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管理人认为应该提前终止的其他情形。</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延期</w:t>
      </w:r>
    </w:p>
    <w:p>
      <w:pPr>
        <w:spacing w:line="360" w:lineRule="auto"/>
        <w:ind w:firstLine="480" w:firstLineChars="200"/>
        <w:jc w:val="left"/>
        <w:rPr>
          <w:rFonts w:hint="eastAsia" w:ascii="宋体" w:hAnsi="宋体" w:cs="宋体"/>
          <w:bCs/>
        </w:rPr>
      </w:pPr>
      <w:r>
        <w:rPr>
          <w:rFonts w:hint="eastAsia" w:ascii="宋体" w:hAnsi="宋体" w:cs="宋体"/>
          <w:bCs/>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5"/>
        </w:numPr>
        <w:spacing w:line="360" w:lineRule="auto"/>
        <w:ind w:firstLine="482" w:firstLineChars="200"/>
        <w:jc w:val="left"/>
        <w:rPr>
          <w:rFonts w:ascii="宋体" w:hAnsi="宋体" w:cs="宋体"/>
          <w:b/>
        </w:rPr>
      </w:pPr>
      <w:r>
        <w:rPr>
          <w:rFonts w:hint="eastAsia" w:ascii="宋体" w:hAnsi="宋体" w:cs="宋体"/>
          <w:b/>
        </w:rPr>
        <w:t>预计在理财计划预计到期日，理财计划资产因市场风险、信用风险等原因无法全部变现。</w:t>
      </w:r>
    </w:p>
    <w:p>
      <w:pPr>
        <w:numPr>
          <w:ilvl w:val="0"/>
          <w:numId w:val="55"/>
        </w:numPr>
        <w:spacing w:line="360" w:lineRule="auto"/>
        <w:ind w:firstLine="482" w:firstLineChars="200"/>
        <w:jc w:val="left"/>
        <w:rPr>
          <w:rFonts w:ascii="宋体" w:hAnsi="宋体" w:cs="宋体"/>
          <w:b/>
        </w:rPr>
      </w:pPr>
      <w:r>
        <w:rPr>
          <w:rFonts w:hint="eastAsia" w:ascii="宋体" w:hAnsi="宋体" w:cs="宋体"/>
          <w:b/>
        </w:rPr>
        <w:t>预计理财计划所投资的信托计划、资管计划、私募基金的受托人或管理人不能按时向管理人划付理财计划的本金和收益。</w:t>
      </w:r>
    </w:p>
    <w:p>
      <w:pPr>
        <w:numPr>
          <w:ilvl w:val="0"/>
          <w:numId w:val="55"/>
        </w:numPr>
        <w:spacing w:line="360" w:lineRule="auto"/>
        <w:ind w:firstLine="482" w:firstLineChars="200"/>
        <w:jc w:val="left"/>
        <w:rPr>
          <w:rFonts w:ascii="宋体" w:hAnsi="宋体" w:cs="宋体"/>
          <w:b/>
        </w:rPr>
      </w:pPr>
      <w:r>
        <w:rPr>
          <w:rFonts w:hint="eastAsia" w:ascii="宋体" w:hAnsi="宋体" w:cs="宋体"/>
          <w:b/>
        </w:rPr>
        <w:t>理财计划财产涉及诉讼或仲裁，且预计诉讼或仲裁执行程序于理财计划到期日尚未终结。</w:t>
      </w:r>
    </w:p>
    <w:p>
      <w:pPr>
        <w:numPr>
          <w:ilvl w:val="0"/>
          <w:numId w:val="55"/>
        </w:numPr>
        <w:spacing w:line="360" w:lineRule="auto"/>
        <w:ind w:firstLine="482" w:firstLineChars="200"/>
        <w:jc w:val="left"/>
        <w:rPr>
          <w:rFonts w:ascii="宋体" w:hAnsi="宋体" w:cs="宋体"/>
          <w:b/>
        </w:rPr>
      </w:pPr>
      <w:r>
        <w:rPr>
          <w:rFonts w:hint="eastAsia" w:ascii="宋体" w:hAnsi="宋体" w:cs="宋体"/>
          <w:b/>
        </w:rPr>
        <w:t>管理人与托管人、销售机构协商一致决定延期。</w:t>
      </w:r>
    </w:p>
    <w:p>
      <w:pPr>
        <w:numPr>
          <w:ilvl w:val="0"/>
          <w:numId w:val="55"/>
        </w:numPr>
        <w:spacing w:line="360" w:lineRule="auto"/>
        <w:ind w:firstLine="482" w:firstLineChars="200"/>
        <w:jc w:val="left"/>
        <w:rPr>
          <w:rFonts w:ascii="宋体" w:hAnsi="宋体" w:cs="宋体"/>
          <w:b/>
        </w:rPr>
      </w:pPr>
      <w:r>
        <w:rPr>
          <w:rFonts w:hint="eastAsia" w:ascii="宋体" w:hAnsi="宋体" w:cs="宋体"/>
          <w:b/>
        </w:rPr>
        <w:t>法律法规规定的或管理人认为有必要延期的其他情形。</w:t>
      </w:r>
    </w:p>
    <w:p>
      <w:pPr>
        <w:spacing w:line="360" w:lineRule="auto"/>
        <w:jc w:val="left"/>
        <w:rPr>
          <w:rFonts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信息披露</w:t>
      </w:r>
    </w:p>
    <w:p>
      <w:pPr>
        <w:numPr>
          <w:ilvl w:val="0"/>
          <w:numId w:val="56"/>
        </w:numPr>
        <w:spacing w:line="360" w:lineRule="auto"/>
        <w:ind w:firstLine="482" w:firstLineChars="200"/>
        <w:jc w:val="left"/>
        <w:outlineLvl w:val="2"/>
        <w:rPr>
          <w:rFonts w:hint="eastAsia" w:ascii="宋体" w:hAnsi="宋体" w:cs="宋体"/>
          <w:b/>
        </w:rPr>
      </w:pPr>
      <w:r>
        <w:rPr>
          <w:rFonts w:hint="eastAsia" w:ascii="宋体" w:hAnsi="宋体" w:cs="宋体"/>
          <w:b/>
        </w:rPr>
        <w:t>披露内容及时间</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认购信息披露</w:t>
      </w:r>
    </w:p>
    <w:p>
      <w:pPr>
        <w:numPr>
          <w:ilvl w:val="0"/>
          <w:numId w:val="58"/>
        </w:numPr>
        <w:spacing w:line="360" w:lineRule="auto"/>
        <w:ind w:firstLine="480" w:firstLineChars="200"/>
        <w:rPr>
          <w:rFonts w:hint="eastAsia" w:ascii="宋体" w:hAnsi="宋体" w:cs="宋体"/>
          <w:bCs/>
          <w:color w:val="000000"/>
        </w:rPr>
      </w:pPr>
      <w:r>
        <w:rPr>
          <w:rFonts w:hint="eastAsia" w:ascii="宋体" w:hAnsi="宋体" w:cs="宋体"/>
          <w:bCs/>
          <w:color w:val="000000"/>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58"/>
        </w:numPr>
        <w:spacing w:line="360" w:lineRule="auto"/>
        <w:ind w:firstLine="480" w:firstLineChars="200"/>
        <w:rPr>
          <w:rFonts w:ascii="宋体" w:hAnsi="宋体" w:cs="宋体"/>
          <w:bCs/>
          <w:color w:val="000000"/>
        </w:rPr>
      </w:pPr>
      <w:r>
        <w:rPr>
          <w:rFonts w:hint="eastAsia" w:ascii="宋体" w:hAnsi="宋体" w:cs="宋体"/>
          <w:bCs/>
          <w:color w:val="000000"/>
        </w:rPr>
        <w:t>发行公告：管理人应在理财计划成立日后5个工作日内披露，包括成立日期、募集规模等信息。</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运作信息披露</w:t>
      </w:r>
    </w:p>
    <w:p>
      <w:pPr>
        <w:numPr>
          <w:ilvl w:val="0"/>
          <w:numId w:val="59"/>
        </w:numPr>
        <w:spacing w:line="360" w:lineRule="auto"/>
        <w:ind w:firstLine="480" w:firstLineChars="200"/>
        <w:rPr>
          <w:rFonts w:hint="eastAsia" w:ascii="宋体" w:hAnsi="宋体" w:cs="宋体"/>
          <w:bCs/>
          <w:color w:val="000000"/>
        </w:rPr>
      </w:pPr>
      <w:r>
        <w:rPr>
          <w:rFonts w:hint="eastAsia" w:ascii="宋体" w:hAnsi="宋体" w:cs="宋体"/>
          <w:bCs/>
          <w:color w:val="000000"/>
        </w:rPr>
        <w:t>理财计划净值：管理人应在理财计划成立后，每个开放确认日后2个工作日内披露本理财计划净值。</w:t>
      </w:r>
    </w:p>
    <w:p>
      <w:pPr>
        <w:numPr>
          <w:ilvl w:val="0"/>
          <w:numId w:val="59"/>
        </w:numPr>
        <w:spacing w:line="360" w:lineRule="auto"/>
        <w:ind w:firstLine="480" w:firstLineChars="200"/>
        <w:rPr>
          <w:rFonts w:hint="eastAsia" w:ascii="宋体" w:hAnsi="宋体" w:cs="宋体"/>
          <w:b/>
        </w:rPr>
      </w:pPr>
      <w:r>
        <w:rPr>
          <w:rFonts w:hint="eastAsia" w:ascii="宋体" w:hAnsi="宋体" w:cs="宋体"/>
          <w:bCs/>
          <w:color w:val="000000"/>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理财产品成立不足90个工作日或者存续期不超过90个工作日的，不编制理财产品当期的季度、半年和年度报告。</w:t>
      </w:r>
    </w:p>
    <w:p>
      <w:pPr>
        <w:numPr>
          <w:ilvl w:val="0"/>
          <w:numId w:val="59"/>
        </w:numPr>
        <w:spacing w:line="360" w:lineRule="auto"/>
        <w:ind w:firstLine="480" w:firstLineChars="200"/>
        <w:rPr>
          <w:rFonts w:hint="eastAsia" w:ascii="宋体" w:hAnsi="宋体" w:cs="宋体"/>
          <w:b/>
        </w:rPr>
      </w:pPr>
      <w:r>
        <w:rPr>
          <w:rFonts w:hint="eastAsia" w:ascii="宋体" w:hAnsi="宋体" w:cs="宋体"/>
          <w:bCs/>
          <w:color w:val="000000"/>
        </w:rPr>
        <w:t>到期报告：管理人应在理财计划到期后5个工作日内披露，包括存续期限、到期兑付净值、收益分配情况等信息。</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临时信息披露</w:t>
      </w:r>
    </w:p>
    <w:p>
      <w:pPr>
        <w:numPr>
          <w:ilvl w:val="0"/>
          <w:numId w:val="60"/>
        </w:numPr>
        <w:spacing w:line="360" w:lineRule="auto"/>
        <w:ind w:firstLine="480" w:firstLineChars="200"/>
        <w:rPr>
          <w:rFonts w:hint="eastAsia" w:ascii="宋体" w:hAnsi="宋体" w:cs="宋体"/>
          <w:bCs/>
          <w:color w:val="000000"/>
        </w:rPr>
      </w:pPr>
      <w:r>
        <w:rPr>
          <w:rFonts w:hint="eastAsia" w:ascii="宋体" w:hAnsi="宋体" w:cs="宋体"/>
          <w:bCs/>
          <w:color w:val="000000"/>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60"/>
        </w:numPr>
        <w:spacing w:line="360" w:lineRule="auto"/>
        <w:ind w:firstLine="480" w:firstLineChars="200"/>
        <w:rPr>
          <w:rFonts w:hint="eastAsia" w:ascii="宋体" w:hAnsi="宋体" w:cs="宋体"/>
          <w:b/>
        </w:rPr>
      </w:pPr>
      <w:r>
        <w:rPr>
          <w:rFonts w:hint="eastAsia" w:ascii="宋体" w:hAnsi="宋体" w:cs="宋体"/>
          <w:bCs/>
          <w:color w:val="000000"/>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6"/>
        </w:numPr>
        <w:spacing w:line="360" w:lineRule="auto"/>
        <w:ind w:firstLine="482" w:firstLineChars="200"/>
        <w:jc w:val="left"/>
        <w:outlineLvl w:val="2"/>
        <w:rPr>
          <w:rFonts w:hint="eastAsia" w:ascii="宋体" w:hAnsi="宋体" w:cs="宋体"/>
          <w:b/>
        </w:rPr>
      </w:pPr>
      <w:r>
        <w:rPr>
          <w:rFonts w:hint="eastAsia" w:ascii="宋体" w:hAnsi="宋体" w:cs="宋体"/>
          <w:b/>
        </w:rPr>
        <w:t>披露方式</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其他</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追索条款</w:t>
      </w:r>
    </w:p>
    <w:p>
      <w:pPr>
        <w:spacing w:line="360" w:lineRule="auto"/>
        <w:ind w:firstLine="480" w:firstLineChars="200"/>
        <w:rPr>
          <w:rFonts w:hint="eastAsia" w:ascii="宋体" w:hAnsi="宋体" w:cs="宋体"/>
          <w:b/>
        </w:rPr>
      </w:pPr>
      <w:r>
        <w:rPr>
          <w:rFonts w:hint="eastAsia" w:ascii="宋体" w:hAnsi="宋体" w:cs="宋体"/>
          <w:bCs/>
          <w:color w:val="000000"/>
        </w:rPr>
        <w:t>若本理财计划所投资的金融资产到期不能全部偿付导致资产减值甚至本金大幅损失，则本公司将以管理人名义，代表投资者利益行使诉讼权利或者实施其他法律行为。</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信息安全</w:t>
      </w:r>
    </w:p>
    <w:p>
      <w:pPr>
        <w:spacing w:line="360" w:lineRule="auto"/>
        <w:ind w:firstLine="480" w:firstLineChars="200"/>
        <w:rPr>
          <w:rFonts w:hint="eastAsia" w:ascii="宋体" w:hAnsi="宋体" w:cs="宋体"/>
          <w:b/>
        </w:rPr>
      </w:pPr>
      <w:r>
        <w:rPr>
          <w:rFonts w:hint="eastAsia" w:ascii="宋体" w:hAnsi="宋体" w:cs="宋体"/>
          <w:bCs/>
          <w:color w:val="000000"/>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争议解决</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销售机构或管理人所在地有管辖权的人民法院诉讼解决。</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特别提示</w:t>
      </w:r>
    </w:p>
    <w:p>
      <w:pPr>
        <w:spacing w:line="360" w:lineRule="auto"/>
        <w:ind w:firstLine="482" w:firstLineChars="200"/>
        <w:rPr>
          <w:rFonts w:hint="eastAsia" w:ascii="宋体" w:hAnsi="宋体" w:cs="宋体"/>
          <w:b/>
          <w:color w:val="000000"/>
        </w:rPr>
      </w:pPr>
      <w:r>
        <w:rPr>
          <w:rFonts w:hint="eastAsia" w:ascii="宋体" w:hAnsi="宋体" w:cs="宋体"/>
          <w:b/>
          <w:color w:val="000000"/>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rPr>
      </w:pPr>
      <w:r>
        <w:rPr>
          <w:rFonts w:hint="eastAsia" w:ascii="宋体" w:hAnsi="宋体" w:cs="宋体"/>
          <w:bCs/>
          <w:color w:val="00000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rPr>
      </w:pPr>
      <w:r>
        <w:rPr>
          <w:rFonts w:hint="eastAsia" w:ascii="宋体" w:hAnsi="宋体" w:cs="宋体"/>
          <w:bCs/>
          <w:color w:val="000000"/>
        </w:rPr>
        <w:br w:type="page"/>
      </w:r>
      <w:r>
        <w:rPr>
          <w:rFonts w:hint="eastAsia" w:ascii="宋体" w:hAnsi="宋体" w:cs="宋体"/>
          <w:b/>
          <w:bCs/>
          <w:color w:val="000000"/>
          <w:sz w:val="44"/>
          <w:szCs w:val="44"/>
        </w:rPr>
        <w:t>杭银理财投资者权益须知</w:t>
      </w:r>
    </w:p>
    <w:p>
      <w:pPr>
        <w:jc w:val="center"/>
        <w:rPr>
          <w:rFonts w:hint="eastAsia" w:ascii="宋体" w:hAnsi="宋体" w:cs="宋体"/>
          <w:b/>
          <w:bCs/>
          <w:color w:val="000000"/>
          <w:sz w:val="44"/>
          <w:szCs w:val="44"/>
        </w:rPr>
      </w:pPr>
      <w:r>
        <w:rPr>
          <w:rFonts w:hint="eastAsia" w:ascii="宋体" w:hAnsi="宋体" w:cs="宋体"/>
          <w:sz w:val="28"/>
          <w:szCs w:val="28"/>
        </w:rPr>
        <w:t>（202201版）</w:t>
      </w:r>
    </w:p>
    <w:p>
      <w:pPr>
        <w:spacing w:line="360" w:lineRule="auto"/>
        <w:jc w:val="center"/>
        <w:rPr>
          <w:rFonts w:hint="eastAsia" w:ascii="宋体" w:hAnsi="宋体" w:cs="宋体"/>
          <w:b/>
          <w:bCs/>
          <w:u w:val="single"/>
        </w:rPr>
      </w:pPr>
      <w:r>
        <w:rPr>
          <w:rFonts w:hint="eastAsia" w:ascii="宋体" w:hAnsi="宋体" w:cs="宋体"/>
          <w:b/>
          <w:bCs/>
          <w:u w:val="single"/>
        </w:rPr>
        <w:t>理财非存款、产品有风险、投资须谨慎</w:t>
      </w:r>
    </w:p>
    <w:p>
      <w:pPr>
        <w:spacing w:line="360" w:lineRule="auto"/>
        <w:rPr>
          <w:rFonts w:hint="eastAsia" w:ascii="宋体" w:hAnsi="宋体" w:cs="宋体"/>
          <w:kern w:val="0"/>
        </w:rPr>
      </w:pPr>
      <w:r>
        <w:rPr>
          <w:rFonts w:hint="eastAsia" w:ascii="宋体" w:hAnsi="宋体" w:cs="宋体"/>
          <w:kern w:val="0"/>
        </w:rPr>
        <w:t>尊敬的投资者：</w:t>
      </w:r>
    </w:p>
    <w:p>
      <w:pPr>
        <w:spacing w:line="360" w:lineRule="auto"/>
        <w:ind w:firstLine="480" w:firstLineChars="200"/>
        <w:rPr>
          <w:rFonts w:hint="eastAsia" w:ascii="宋体" w:hAnsi="宋体" w:cs="宋体"/>
          <w:kern w:val="0"/>
        </w:rPr>
      </w:pPr>
      <w:r>
        <w:rPr>
          <w:rFonts w:hint="eastAsia" w:ascii="宋体" w:hAnsi="宋体" w:cs="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2"/>
        </w:numPr>
        <w:spacing w:line="360" w:lineRule="auto"/>
        <w:ind w:firstLine="482" w:firstLineChars="200"/>
        <w:outlineLvl w:val="1"/>
        <w:rPr>
          <w:rFonts w:hint="eastAsia" w:ascii="宋体" w:hAnsi="宋体" w:cs="宋体"/>
          <w:b/>
          <w:kern w:val="0"/>
        </w:rPr>
      </w:pPr>
      <w:r>
        <w:rPr>
          <w:rFonts w:hint="eastAsia" w:ascii="宋体" w:hAnsi="宋体" w:cs="宋体"/>
          <w:b/>
          <w:kern w:val="0"/>
        </w:rPr>
        <w:t>理财计划办理流程</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首次在销售机构购买杭银理财理财计划的个人投资者须接受并完成销售机构对您的风险承受能力评估，并确认风险承受能力等级不低于本理财计划风险评级。</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应仔细阅读本理财计划完整合同（包括但不限于理财计划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如在银行营业场所购买杭银理财理财计划，销售机构需对每笔理财计划销售过程同步录音录像。</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投资者确定交易金额，完成交易申请，并在确认份额后进行查询。</w:t>
      </w:r>
    </w:p>
    <w:p>
      <w:pPr>
        <w:numPr>
          <w:ilvl w:val="0"/>
          <w:numId w:val="64"/>
        </w:numPr>
        <w:spacing w:line="360" w:lineRule="auto"/>
        <w:ind w:firstLine="482" w:firstLineChars="200"/>
        <w:outlineLvl w:val="1"/>
        <w:rPr>
          <w:rFonts w:hint="eastAsia" w:ascii="宋体" w:hAnsi="宋体" w:cs="宋体"/>
          <w:b/>
          <w:kern w:val="0"/>
        </w:rPr>
      </w:pPr>
      <w:r>
        <w:rPr>
          <w:rFonts w:hint="eastAsia" w:ascii="宋体" w:hAnsi="宋体" w:cs="宋体"/>
          <w:b/>
          <w:kern w:val="0"/>
        </w:rPr>
        <w:t>杭银理财产品风险评级</w:t>
      </w:r>
    </w:p>
    <w:p>
      <w:pPr>
        <w:spacing w:line="360" w:lineRule="auto"/>
        <w:ind w:firstLine="480" w:firstLineChars="200"/>
        <w:rPr>
          <w:rFonts w:hint="eastAsia" w:ascii="宋体" w:hAnsi="宋体" w:cs="宋体"/>
          <w:kern w:val="0"/>
        </w:rPr>
      </w:pPr>
      <w:r>
        <w:rPr>
          <w:rFonts w:hint="eastAsia" w:ascii="宋体" w:hAnsi="宋体" w:cs="宋体"/>
          <w:kern w:val="0"/>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机构投资者及进取型的个人投资者</w:t>
            </w:r>
          </w:p>
        </w:tc>
      </w:tr>
    </w:tbl>
    <w:p>
      <w:pPr>
        <w:spacing w:line="360" w:lineRule="auto"/>
        <w:ind w:left="480" w:leftChars="200"/>
        <w:outlineLvl w:val="1"/>
        <w:rPr>
          <w:rFonts w:hint="eastAsia" w:ascii="宋体" w:hAnsi="宋体" w:cs="宋体"/>
          <w:b/>
          <w:kern w:val="0"/>
        </w:rPr>
      </w:pPr>
      <w:r>
        <w:rPr>
          <w:rFonts w:hint="eastAsia" w:ascii="宋体" w:hAnsi="宋体" w:cs="宋体"/>
          <w:bCs/>
        </w:rPr>
        <w:t>投资者风险承受能力评级水平以销售机构评估为准。</w:t>
      </w:r>
    </w:p>
    <w:p>
      <w:pPr>
        <w:numPr>
          <w:ilvl w:val="0"/>
          <w:numId w:val="65"/>
        </w:numPr>
        <w:spacing w:line="360" w:lineRule="auto"/>
        <w:ind w:firstLine="482" w:firstLineChars="200"/>
        <w:outlineLvl w:val="1"/>
        <w:rPr>
          <w:rFonts w:hint="eastAsia" w:ascii="宋体" w:hAnsi="宋体" w:cs="宋体"/>
          <w:b/>
          <w:kern w:val="0"/>
        </w:rPr>
      </w:pPr>
      <w:r>
        <w:rPr>
          <w:rFonts w:hint="eastAsia" w:ascii="宋体" w:hAnsi="宋体" w:cs="宋体"/>
          <w:b/>
          <w:kern w:val="0"/>
        </w:rPr>
        <w:t>投资者风险承受能力评估</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个人投资者风险承受能力评估流程（详询销售机构工作人员）</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个人投资者在销售机构进行风险承受能力评估；</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填写销售机构个人投资者风险承受能力测试问卷；</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生成相应的个人投资者风险承受能力评估结果；</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投资者对评估结果进行确认。</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机构投资者购买理财计划前无须进行风险评估能力测试。机构投资者不适用个人投资者的风险承受能力评估，请机构投资者根据自身财务状况、投资风格、资金需求等要素，并在阅读本权益须知、理财计划风险揭示书、理财计划产品说明书、理财计划投资协议书和理财计划销售协议书的基础上，充分认识投资本理财计划需要承担的风险。</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四、理财计划信息披露</w:t>
      </w:r>
    </w:p>
    <w:p>
      <w:pPr>
        <w:spacing w:line="360" w:lineRule="auto"/>
        <w:ind w:firstLine="480" w:firstLineChars="200"/>
        <w:rPr>
          <w:rFonts w:hint="eastAsia" w:ascii="宋体" w:hAnsi="宋体" w:cs="宋体"/>
          <w:kern w:val="0"/>
        </w:rPr>
      </w:pPr>
      <w:r>
        <w:rPr>
          <w:rFonts w:hint="eastAsia" w:ascii="宋体" w:hAnsi="宋体" w:cs="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五、投资者信息管理</w:t>
      </w:r>
    </w:p>
    <w:p>
      <w:pPr>
        <w:spacing w:line="360" w:lineRule="auto"/>
        <w:ind w:firstLine="480" w:firstLineChars="200"/>
        <w:rPr>
          <w:rFonts w:hint="eastAsia" w:ascii="宋体" w:hAnsi="宋体" w:cs="宋体"/>
          <w:kern w:val="0"/>
        </w:rPr>
      </w:pPr>
      <w:r>
        <w:rPr>
          <w:rFonts w:hint="eastAsia" w:ascii="宋体" w:hAnsi="宋体" w:cs="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rPr>
      </w:pPr>
      <w:r>
        <w:rPr>
          <w:rFonts w:hint="eastAsia" w:ascii="宋体" w:hAnsi="宋体" w:cs="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六、投诉与建议</w:t>
      </w:r>
    </w:p>
    <w:p>
      <w:pPr>
        <w:numPr>
          <w:ilvl w:val="0"/>
          <w:numId w:val="69"/>
        </w:numPr>
        <w:spacing w:line="360" w:lineRule="auto"/>
        <w:ind w:firstLine="480" w:firstLineChars="200"/>
        <w:outlineLvl w:val="2"/>
        <w:rPr>
          <w:rFonts w:hint="eastAsia" w:ascii="宋体" w:hAnsi="宋体" w:cs="宋体"/>
          <w:kern w:val="0"/>
        </w:rPr>
      </w:pPr>
      <w:r>
        <w:rPr>
          <w:rFonts w:hint="eastAsia" w:ascii="宋体" w:hAnsi="宋体" w:cs="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69"/>
        </w:numPr>
        <w:spacing w:line="360" w:lineRule="auto"/>
        <w:ind w:firstLine="480" w:firstLineChars="200"/>
        <w:outlineLvl w:val="2"/>
        <w:rPr>
          <w:rFonts w:hint="eastAsia" w:ascii="宋体" w:hAnsi="宋体" w:cs="宋体"/>
          <w:kern w:val="0"/>
        </w:rPr>
      </w:pPr>
      <w:r>
        <w:rPr>
          <w:rFonts w:hint="eastAsia" w:ascii="宋体" w:hAnsi="宋体" w:cs="宋体"/>
          <w:kern w:val="0"/>
        </w:rPr>
        <w:t>联络方式</w:t>
      </w:r>
    </w:p>
    <w:p>
      <w:pPr>
        <w:numPr>
          <w:ilvl w:val="0"/>
          <w:numId w:val="70"/>
        </w:numPr>
        <w:spacing w:line="360" w:lineRule="auto"/>
        <w:ind w:firstLine="480" w:firstLineChars="200"/>
        <w:rPr>
          <w:rFonts w:hint="eastAsia" w:ascii="宋体" w:hAnsi="宋体" w:cs="宋体"/>
          <w:kern w:val="0"/>
        </w:rPr>
      </w:pPr>
      <w:r>
        <w:rPr>
          <w:rFonts w:hint="eastAsia" w:ascii="宋体" w:hAnsi="宋体" w:cs="宋体"/>
          <w:kern w:val="0"/>
        </w:rPr>
        <w:t>杭银理财联络方式：</w:t>
      </w:r>
    </w:p>
    <w:p>
      <w:pPr>
        <w:spacing w:line="360" w:lineRule="auto"/>
        <w:ind w:firstLine="480" w:firstLineChars="200"/>
        <w:rPr>
          <w:rFonts w:hint="eastAsia" w:ascii="宋体" w:hAnsi="宋体" w:cs="宋体"/>
          <w:kern w:val="0"/>
          <w:u w:val="single"/>
        </w:rPr>
      </w:pPr>
      <w:r>
        <w:rPr>
          <w:rFonts w:hint="eastAsia" w:ascii="宋体" w:hAnsi="宋体" w:cs="宋体"/>
          <w:kern w:val="0"/>
        </w:rPr>
        <w:t>官方网站：</w:t>
      </w:r>
      <w:r>
        <w:rPr>
          <w:rFonts w:hint="eastAsia" w:ascii="宋体" w:hAnsi="宋体" w:cs="宋体"/>
          <w:bCs/>
        </w:rPr>
        <w:t>https://</w:t>
      </w:r>
      <w:r>
        <w:rPr>
          <w:rStyle w:val="14"/>
          <w:rFonts w:hint="eastAsia" w:ascii="宋体" w:hAnsi="宋体" w:cs="宋体"/>
          <w:color w:val="auto"/>
          <w:kern w:val="0"/>
          <w:szCs w:val="22"/>
          <w:u w:val="none"/>
        </w:rPr>
        <w:t>www.hzbankwealth.com.cn</w:t>
      </w:r>
    </w:p>
    <w:p>
      <w:pPr>
        <w:spacing w:line="360" w:lineRule="auto"/>
        <w:ind w:firstLine="480" w:firstLineChars="200"/>
        <w:rPr>
          <w:rFonts w:ascii="宋体" w:hAnsi="宋体" w:cs="宋体"/>
          <w:kern w:val="0"/>
        </w:rPr>
      </w:pPr>
      <w:r>
        <w:rPr>
          <w:rFonts w:hint="eastAsia" w:ascii="宋体" w:hAnsi="宋体" w:cs="宋体"/>
          <w:kern w:val="0"/>
        </w:rPr>
        <w:t>客户服务热线：400-8950-999</w:t>
      </w:r>
    </w:p>
    <w:p>
      <w:pPr>
        <w:spacing w:line="360" w:lineRule="auto"/>
        <w:ind w:firstLine="480" w:firstLineChars="200"/>
        <w:rPr>
          <w:rFonts w:hint="eastAsia" w:ascii="宋体" w:hAnsi="宋体" w:cs="宋体"/>
          <w:kern w:val="0"/>
        </w:rPr>
      </w:pPr>
      <w:r>
        <w:rPr>
          <w:rFonts w:hint="eastAsia" w:ascii="宋体" w:hAnsi="宋体" w:cs="宋体"/>
          <w:kern w:val="0"/>
        </w:rPr>
        <w:t>公司地址：杭州市拱墅区庆春路38号金龙财富中心6楼</w:t>
      </w:r>
    </w:p>
    <w:p>
      <w:pPr>
        <w:spacing w:line="360" w:lineRule="auto"/>
        <w:ind w:firstLine="480" w:firstLineChars="200"/>
        <w:rPr>
          <w:rFonts w:hint="eastAsia" w:ascii="宋体" w:hAnsi="宋体" w:cs="宋体"/>
          <w:kern w:val="0"/>
        </w:rPr>
      </w:pPr>
      <w:r>
        <w:rPr>
          <w:rFonts w:hint="eastAsia" w:ascii="宋体" w:hAnsi="宋体" w:cs="宋体"/>
          <w:kern w:val="0"/>
        </w:rPr>
        <w:t>若上述联系方式变更，杭银理财将提前通过官方网站及时告知投资者。</w:t>
      </w:r>
    </w:p>
    <w:p>
      <w:pPr>
        <w:numPr>
          <w:ilvl w:val="0"/>
          <w:numId w:val="70"/>
        </w:numPr>
        <w:spacing w:line="360" w:lineRule="auto"/>
        <w:ind w:firstLine="480" w:firstLineChars="200"/>
        <w:rPr>
          <w:rFonts w:hint="eastAsia" w:ascii="宋体" w:hAnsi="宋体" w:cs="宋体"/>
          <w:kern w:val="0"/>
        </w:rPr>
      </w:pPr>
      <w:r>
        <w:rPr>
          <w:rFonts w:hint="eastAsia" w:ascii="宋体" w:hAnsi="宋体" w:cs="宋体"/>
          <w:kern w:val="0"/>
        </w:rPr>
        <w:t>杭州银行（作为销售机构）联络方式：</w:t>
      </w:r>
    </w:p>
    <w:p>
      <w:pPr>
        <w:spacing w:line="360" w:lineRule="auto"/>
        <w:ind w:firstLine="480" w:firstLineChars="200"/>
        <w:rPr>
          <w:rFonts w:hint="eastAsia" w:ascii="宋体" w:hAnsi="宋体" w:cs="宋体"/>
          <w:kern w:val="0"/>
          <w:u w:val="single"/>
        </w:rPr>
      </w:pPr>
      <w:r>
        <w:rPr>
          <w:rFonts w:hint="eastAsia" w:ascii="宋体" w:hAnsi="宋体" w:cs="宋体"/>
          <w:kern w:val="0"/>
        </w:rPr>
        <w:t xml:space="preserve">官方网站: </w:t>
      </w:r>
      <w:r>
        <w:rPr>
          <w:rFonts w:hint="eastAsia" w:ascii="宋体" w:hAnsi="宋体" w:cs="宋体"/>
          <w:kern w:val="0"/>
        </w:rPr>
        <w:fldChar w:fldCharType="begin"/>
      </w:r>
      <w:r>
        <w:rPr>
          <w:rFonts w:hint="eastAsia" w:ascii="宋体" w:hAnsi="宋体" w:cs="宋体"/>
          <w:kern w:val="0"/>
        </w:rPr>
        <w:instrText xml:space="preserve"> HYPERLINK "http://www.hzbankwealth.cn" </w:instrText>
      </w:r>
      <w:r>
        <w:rPr>
          <w:rFonts w:hint="eastAsia" w:ascii="宋体" w:hAnsi="宋体" w:cs="宋体"/>
          <w:kern w:val="0"/>
        </w:rPr>
        <w:fldChar w:fldCharType="separate"/>
      </w:r>
      <w:r>
        <w:rPr>
          <w:rStyle w:val="14"/>
          <w:rFonts w:hint="eastAsia" w:ascii="宋体" w:hAnsi="宋体" w:cs="宋体"/>
          <w:color w:val="auto"/>
          <w:kern w:val="0"/>
          <w:u w:val="none"/>
        </w:rPr>
        <w:t>www.hzbank.com.cn</w:t>
      </w:r>
      <w:r>
        <w:rPr>
          <w:rFonts w:hint="eastAsia" w:ascii="宋体" w:hAnsi="宋体" w:cs="宋体"/>
          <w:kern w:val="0"/>
        </w:rPr>
        <w:fldChar w:fldCharType="end"/>
      </w:r>
    </w:p>
    <w:p>
      <w:pPr>
        <w:spacing w:line="360" w:lineRule="auto"/>
        <w:ind w:firstLine="480" w:firstLineChars="200"/>
        <w:rPr>
          <w:rFonts w:ascii="宋体" w:hAnsi="宋体" w:cs="宋体"/>
          <w:kern w:val="0"/>
        </w:rPr>
      </w:pPr>
      <w:r>
        <w:rPr>
          <w:rFonts w:hint="eastAsia" w:ascii="宋体" w:hAnsi="宋体" w:cs="宋体"/>
          <w:kern w:val="0"/>
        </w:rPr>
        <w:t>客户服务热线：95398、4008888508</w:t>
      </w:r>
    </w:p>
    <w:p>
      <w:pPr>
        <w:spacing w:line="360" w:lineRule="auto"/>
        <w:ind w:firstLine="480" w:firstLineChars="200"/>
        <w:jc w:val="left"/>
        <w:rPr>
          <w:rFonts w:hint="eastAsia" w:ascii="宋体" w:hAnsi="宋体" w:cs="宋体"/>
          <w:kern w:val="0"/>
        </w:rPr>
      </w:pPr>
      <w:r>
        <w:rPr>
          <w:rFonts w:hint="eastAsia" w:ascii="宋体" w:hAnsi="宋体" w:cs="宋体"/>
          <w:kern w:val="0"/>
        </w:rPr>
        <w:t>在其他销售机构购买理财计划的，请联系其他销售机构，联系方式以其披露为准。</w:t>
      </w:r>
    </w:p>
    <w:p>
      <w:pPr>
        <w:spacing w:line="360" w:lineRule="auto"/>
        <w:jc w:val="center"/>
        <w:outlineLvl w:val="0"/>
        <w:rPr>
          <w:rFonts w:hint="eastAsia"/>
          <w:b/>
          <w:sz w:val="44"/>
          <w:szCs w:val="44"/>
        </w:rPr>
      </w:pPr>
      <w:r>
        <w:rPr>
          <w:rFonts w:hint="eastAsia"/>
          <w:b/>
          <w:sz w:val="44"/>
          <w:szCs w:val="44"/>
        </w:rPr>
        <w:br w:type="page"/>
      </w:r>
      <w:r>
        <w:rPr>
          <w:rFonts w:hint="eastAsia"/>
          <w:b/>
          <w:sz w:val="44"/>
          <w:szCs w:val="44"/>
        </w:rPr>
        <w:t>杭银理财理财计划投资协议书</w:t>
      </w:r>
    </w:p>
    <w:p>
      <w:pPr>
        <w:jc w:val="center"/>
        <w:rPr>
          <w:rFonts w:hint="eastAsia"/>
          <w:b/>
          <w:sz w:val="44"/>
          <w:szCs w:val="44"/>
        </w:rPr>
      </w:pPr>
      <w:r>
        <w:rPr>
          <w:rFonts w:hint="eastAsia" w:ascii="宋体" w:hAnsi="宋体" w:cs="宋体"/>
          <w:sz w:val="28"/>
          <w:szCs w:val="28"/>
        </w:rPr>
        <w:t>（202201版）</w:t>
      </w:r>
    </w:p>
    <w:p>
      <w:pPr>
        <w:spacing w:line="360" w:lineRule="auto"/>
        <w:jc w:val="center"/>
        <w:rPr>
          <w:rFonts w:hint="eastAsia"/>
          <w:b/>
          <w:sz w:val="32"/>
          <w:szCs w:val="32"/>
        </w:rPr>
      </w:pPr>
      <w:r>
        <w:rPr>
          <w:rFonts w:hint="eastAsia" w:ascii="宋体" w:hAnsi="宋体" w:cs="宋体"/>
          <w:b/>
          <w:bCs/>
          <w:u w:val="single"/>
        </w:rPr>
        <w:t>理财非存款、产品有风险、投资须谨慎</w:t>
      </w:r>
    </w:p>
    <w:p>
      <w:pPr>
        <w:spacing w:line="360" w:lineRule="auto"/>
        <w:ind w:firstLine="482" w:firstLineChars="200"/>
        <w:rPr>
          <w:rFonts w:hint="eastAsia"/>
          <w:b/>
          <w:bCs/>
        </w:rPr>
      </w:pPr>
      <w:r>
        <w:rPr>
          <w:rFonts w:hint="eastAsia"/>
          <w:b/>
          <w:bCs/>
        </w:rPr>
        <w:t>特别提示：杭银理财理财计划投资协议书与理财计划风险揭示书、理财计划产品说明书、投资者权益须知及理财计划销售协议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rPr>
      </w:pPr>
      <w:r>
        <w:rPr>
          <w:rFonts w:hint="eastAsia"/>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rPr>
      </w:pPr>
    </w:p>
    <w:p>
      <w:pPr>
        <w:numPr>
          <w:ilvl w:val="0"/>
          <w:numId w:val="71"/>
        </w:numPr>
        <w:spacing w:line="360" w:lineRule="auto"/>
        <w:ind w:firstLine="482" w:firstLineChars="200"/>
        <w:outlineLvl w:val="1"/>
        <w:rPr>
          <w:rFonts w:hint="eastAsia" w:ascii="宋体" w:hAnsi="宋体"/>
          <w:b/>
          <w:bCs/>
        </w:rPr>
      </w:pPr>
      <w:r>
        <w:rPr>
          <w:rFonts w:hint="eastAsia"/>
          <w:b/>
          <w:bCs/>
        </w:rPr>
        <w:t>名词释义</w:t>
      </w:r>
    </w:p>
    <w:p>
      <w:pPr>
        <w:spacing w:line="360" w:lineRule="auto"/>
        <w:ind w:firstLine="480" w:firstLineChars="200"/>
        <w:rPr>
          <w:rFonts w:hint="eastAsia"/>
          <w:bCs/>
        </w:rPr>
      </w:pPr>
      <w:r>
        <w:rPr>
          <w:rFonts w:hint="eastAsia"/>
          <w:bCs/>
        </w:rPr>
        <w:t>详见理财计划说明书“释义”部分。</w:t>
      </w:r>
    </w:p>
    <w:p>
      <w:pPr>
        <w:spacing w:line="360" w:lineRule="auto"/>
        <w:ind w:firstLine="480" w:firstLineChars="200"/>
        <w:rPr>
          <w:rFonts w:hint="eastAsia"/>
          <w:bCs/>
        </w:rPr>
      </w:pPr>
    </w:p>
    <w:p>
      <w:pPr>
        <w:numPr>
          <w:ilvl w:val="0"/>
          <w:numId w:val="71"/>
        </w:numPr>
        <w:spacing w:line="360" w:lineRule="auto"/>
        <w:ind w:firstLine="482" w:firstLineChars="200"/>
        <w:outlineLvl w:val="1"/>
        <w:rPr>
          <w:rFonts w:hint="eastAsia"/>
          <w:b/>
        </w:rPr>
      </w:pPr>
      <w:r>
        <w:rPr>
          <w:rFonts w:hint="eastAsia"/>
          <w:b/>
        </w:rPr>
        <w:t>投资者权利与义务</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管理人权利与义务</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管理人应当诚实守信、勤勉尽责地履行受人之托、代人理财职责。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73"/>
        </w:numPr>
        <w:spacing w:line="360" w:lineRule="auto"/>
        <w:ind w:firstLine="480" w:firstLineChars="200"/>
        <w:contextualSpacing/>
        <w:outlineLvl w:val="2"/>
        <w:rPr>
          <w:rFonts w:ascii="宋体" w:hAnsi="宋体"/>
        </w:rPr>
      </w:pPr>
      <w:r>
        <w:rPr>
          <w:rFonts w:ascii="宋体" w:hAnsi="宋体"/>
        </w:rPr>
        <w:t>管理人不得将理财</w:t>
      </w:r>
      <w:r>
        <w:rPr>
          <w:rFonts w:hint="eastAsia" w:ascii="宋体" w:hAnsi="宋体"/>
        </w:rPr>
        <w:t>计划</w:t>
      </w:r>
      <w:r>
        <w:rPr>
          <w:rFonts w:ascii="宋体" w:hAnsi="宋体"/>
        </w:rPr>
        <w:t>财产归入其自有资产</w:t>
      </w:r>
      <w:r>
        <w:rPr>
          <w:rFonts w:hint="eastAsia" w:ascii="宋体" w:hAnsi="宋体"/>
        </w:rPr>
        <w:t>，</w:t>
      </w:r>
      <w:r>
        <w:rPr>
          <w:rFonts w:ascii="宋体" w:hAnsi="宋体"/>
        </w:rPr>
        <w:t>因依法解散</w:t>
      </w:r>
      <w:r>
        <w:rPr>
          <w:rFonts w:hint="eastAsia" w:ascii="宋体" w:hAnsi="宋体"/>
        </w:rPr>
        <w:t>、</w:t>
      </w:r>
      <w:r>
        <w:rPr>
          <w:rFonts w:ascii="宋体" w:hAnsi="宋体"/>
        </w:rPr>
        <w:t>被依法撤销或者被依法宣告破产等原因进行清算的</w:t>
      </w:r>
      <w:r>
        <w:rPr>
          <w:rFonts w:hint="eastAsia" w:ascii="宋体" w:hAnsi="宋体"/>
        </w:rPr>
        <w:t>，</w:t>
      </w:r>
      <w:r>
        <w:rPr>
          <w:rFonts w:ascii="宋体" w:hAnsi="宋体"/>
        </w:rPr>
        <w:t>理财</w:t>
      </w:r>
      <w:r>
        <w:rPr>
          <w:rFonts w:hint="eastAsia" w:ascii="宋体" w:hAnsi="宋体"/>
        </w:rPr>
        <w:t>计划</w:t>
      </w:r>
      <w:r>
        <w:rPr>
          <w:rFonts w:ascii="宋体" w:hAnsi="宋体"/>
        </w:rPr>
        <w:t>财产不属于其清算财产</w:t>
      </w:r>
      <w:r>
        <w:rPr>
          <w:rFonts w:hint="eastAsia" w:ascii="宋体" w:hAnsi="宋体"/>
        </w:rPr>
        <w:t>。</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rPr>
      </w:pPr>
    </w:p>
    <w:p>
      <w:pPr>
        <w:numPr>
          <w:ilvl w:val="0"/>
          <w:numId w:val="71"/>
        </w:numPr>
        <w:spacing w:line="360" w:lineRule="auto"/>
        <w:ind w:firstLine="482" w:firstLineChars="200"/>
        <w:outlineLvl w:val="1"/>
        <w:rPr>
          <w:rFonts w:hint="eastAsia"/>
          <w:b/>
        </w:rPr>
      </w:pPr>
      <w:r>
        <w:rPr>
          <w:rFonts w:hint="eastAsia"/>
          <w:b/>
        </w:rPr>
        <w:t>理财计划认（申）购、赎回及终止</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 xml:space="preserve">理财计划认/申购办理流程：参照《投资者权益须知》约定。 </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4"/>
        </w:numPr>
        <w:spacing w:line="360" w:lineRule="auto"/>
        <w:ind w:firstLine="480" w:firstLineChars="200"/>
        <w:contextualSpacing/>
        <w:outlineLvl w:val="2"/>
        <w:rPr>
          <w:rFonts w:hint="eastAsia"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理财计划赎回/终止兑付：在正常情况下，管理人和代销机构将按照对应期次的《理财计划产品说明书》相关约定，将兑付款项划入投资者在理财计划销售文件中授权的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税收处理</w:t>
      </w:r>
    </w:p>
    <w:p>
      <w:pPr>
        <w:widowControl/>
        <w:spacing w:line="360" w:lineRule="auto"/>
        <w:ind w:firstLine="48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rPr>
      </w:pPr>
    </w:p>
    <w:p>
      <w:pPr>
        <w:numPr>
          <w:ilvl w:val="0"/>
          <w:numId w:val="71"/>
        </w:numPr>
        <w:spacing w:line="360" w:lineRule="auto"/>
        <w:ind w:firstLine="482" w:firstLineChars="200"/>
        <w:outlineLvl w:val="1"/>
        <w:rPr>
          <w:rFonts w:hint="eastAsia"/>
          <w:b/>
        </w:rPr>
      </w:pPr>
      <w:r>
        <w:rPr>
          <w:rFonts w:hint="eastAsia"/>
          <w:b/>
        </w:rPr>
        <w:t>违约责任及免责条款</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赎回，本合同自动终止。因提前终止而产生的损失及相关费用由投资者承担。本合同前述情况终止的，理财本金不计付赎回日前的理财收益，也不计付存款利息。</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71"/>
        </w:numPr>
        <w:spacing w:line="360" w:lineRule="auto"/>
        <w:ind w:firstLine="482" w:firstLineChars="200"/>
        <w:outlineLvl w:val="1"/>
        <w:rPr>
          <w:b/>
        </w:rPr>
      </w:pPr>
      <w:r>
        <w:rPr>
          <w:rFonts w:hint="eastAsia"/>
          <w:b/>
        </w:rPr>
        <w:t>适用法律与争议解决</w:t>
      </w:r>
    </w:p>
    <w:p>
      <w:pPr>
        <w:widowControl/>
        <w:spacing w:line="360" w:lineRule="auto"/>
        <w:ind w:firstLine="480" w:firstLineChars="200"/>
        <w:contextualSpacing/>
        <w:rPr>
          <w:rFonts w:ascii="宋体" w:hAnsi="宋体"/>
        </w:rPr>
      </w:pPr>
      <w:r>
        <w:rPr>
          <w:rFonts w:hint="eastAsia" w:ascii="宋体" w:hAnsi="宋体"/>
        </w:rPr>
        <w:t>本合同适用</w:t>
      </w:r>
      <w:r>
        <w:rPr>
          <w:rFonts w:hint="eastAsia" w:ascii="宋体" w:hAnsi="宋体" w:cs="宋体"/>
          <w:bCs/>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的法律和行政法规。本合同项下的及与之有关的一切争议，投资者与管理人双方应首先协商解决，协商不成的，应提交销售机构或管理人所在地人民法院司法裁决。诉讼期间，未涉及争议的条款仍需继续履行。</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协议生效和终止</w:t>
      </w:r>
    </w:p>
    <w:p>
      <w:pPr>
        <w:widowControl/>
        <w:numPr>
          <w:ilvl w:val="0"/>
          <w:numId w:val="76"/>
        </w:numPr>
        <w:spacing w:line="360" w:lineRule="auto"/>
        <w:ind w:firstLine="480" w:firstLineChars="200"/>
        <w:contextualSpacing/>
        <w:outlineLvl w:val="2"/>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71"/>
        </w:numPr>
        <w:spacing w:line="360" w:lineRule="auto"/>
        <w:ind w:firstLine="482" w:firstLineChars="200"/>
        <w:outlineLvl w:val="1"/>
        <w:rPr>
          <w:b/>
        </w:rPr>
      </w:pPr>
      <w:r>
        <w:rPr>
          <w:rFonts w:hint="eastAsia"/>
          <w:b/>
        </w:rPr>
        <w:t>附则</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rPr>
      </w:pPr>
    </w:p>
    <w:p>
      <w:pPr>
        <w:spacing w:line="360" w:lineRule="auto"/>
        <w:ind w:firstLine="480" w:firstLineChars="200"/>
        <w:rPr>
          <w:rFonts w:ascii="宋体" w:hAnsi="宋体" w:cs="宋体"/>
          <w:bCs/>
          <w:color w:val="000000"/>
        </w:rPr>
      </w:pPr>
    </w:p>
    <w:p>
      <w:pPr>
        <w:pStyle w:val="9"/>
        <w:widowControl/>
        <w:spacing w:line="360" w:lineRule="auto"/>
        <w:jc w:val="right"/>
        <w:rPr>
          <w:rFonts w:hint="eastAsia" w:ascii="宋体" w:hAnsi="Wingdings" w:cs="宋体"/>
          <w:color w:val="000000"/>
          <w:kern w:val="0"/>
        </w:rPr>
      </w:pPr>
      <w:r>
        <w:rPr>
          <w:rFonts w:hint="eastAsia" w:ascii="宋体" w:hAnsi="宋体" w:cs="宋体"/>
          <w:kern w:val="0"/>
        </w:rPr>
        <w:t>杭银理财有限责任公司</w:t>
      </w:r>
    </w:p>
    <w:p>
      <w:pPr>
        <w:spacing w:line="360" w:lineRule="auto"/>
        <w:outlineLvl w:val="9"/>
        <w:rPr>
          <w:rFonts w:ascii="宋体" w:hAnsi="宋体" w:cs="宋体"/>
          <w:bCs/>
          <w:color w:val="000000"/>
        </w:rPr>
      </w:pPr>
    </w:p>
    <w:p>
      <w:pPr>
        <w:spacing w:line="360" w:lineRule="auto"/>
        <w:outlineLvl w:val="9"/>
        <w:rPr>
          <w:rFonts w:ascii="宋体" w:hAnsi="宋体" w:cs="宋体"/>
          <w:bCs/>
          <w:color w:val="000000"/>
        </w:rPr>
      </w:pPr>
    </w:p>
    <w:p>
      <w:pPr>
        <w:spacing w:line="360" w:lineRule="auto"/>
        <w:outlineLvl w:val="9"/>
        <w:rPr>
          <w:rFonts w:ascii="宋体" w:hAnsi="宋体" w:cs="宋体"/>
          <w:bCs/>
          <w:color w:val="000000"/>
        </w:rPr>
      </w:pPr>
    </w:p>
    <w:p>
      <w:pPr>
        <w:jc w:val="center"/>
        <w:outlineLvl w:val="9"/>
        <w:rPr>
          <w:rFonts w:hint="eastAsia"/>
          <w:b/>
          <w:sz w:val="44"/>
          <w:szCs w:val="44"/>
        </w:rPr>
      </w:pPr>
    </w:p>
    <w:p>
      <w:pPr>
        <w:jc w:val="center"/>
        <w:outlineLvl w:val="9"/>
        <w:rPr>
          <w:rFonts w:hint="eastAsia"/>
          <w:b/>
          <w:sz w:val="44"/>
          <w:szCs w:val="44"/>
        </w:rPr>
      </w:pPr>
    </w:p>
    <w:p>
      <w:pPr>
        <w:jc w:val="center"/>
        <w:outlineLvl w:val="0"/>
        <w:rPr>
          <w:rFonts w:hint="eastAsia"/>
          <w:b/>
          <w:sz w:val="44"/>
          <w:szCs w:val="44"/>
        </w:rPr>
      </w:pPr>
      <w:bookmarkStart w:id="0" w:name="_GoBack"/>
      <w:bookmarkEnd w:id="0"/>
      <w:r>
        <w:rPr>
          <w:rFonts w:hint="eastAsia"/>
          <w:b/>
          <w:sz w:val="44"/>
          <w:szCs w:val="44"/>
        </w:rPr>
        <w:t>杭银理财理财计划销售协议书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center"/>
        <w:rPr>
          <w:sz w:val="32"/>
          <w:szCs w:val="40"/>
        </w:rPr>
      </w:pPr>
      <w:r>
        <w:rPr>
          <w:rFonts w:hint="eastAsia" w:ascii="宋体" w:hAnsi="宋体" w:cs="宋体"/>
          <w:b/>
          <w:bCs/>
          <w:u w:val="single"/>
        </w:rPr>
        <w:t>理财非存款、产品有风险、投资须谨慎</w:t>
      </w:r>
    </w:p>
    <w:p>
      <w:pPr>
        <w:spacing w:line="360" w:lineRule="auto"/>
        <w:ind w:firstLine="482" w:firstLineChars="200"/>
        <w:rPr>
          <w:rFonts w:hint="eastAsia"/>
          <w:b/>
          <w:bCs/>
        </w:rPr>
      </w:pPr>
      <w:r>
        <w:rPr>
          <w:rFonts w:hint="eastAsia"/>
          <w:b/>
          <w:bCs/>
        </w:rPr>
        <w:t>特别提示：《杭银理财理财计划销售协议书</w:t>
      </w:r>
      <w:r>
        <w:rPr>
          <w:rFonts w:hint="eastAsia" w:ascii="宋体" w:hAnsi="宋体" w:cs="宋体"/>
          <w:b/>
          <w:bCs/>
        </w:rPr>
        <w:t>（202201版）</w:t>
      </w:r>
      <w:r>
        <w:rPr>
          <w:rFonts w:hint="eastAsia"/>
          <w:b/>
          <w:bCs/>
        </w:rPr>
        <w:t>》与对应期次的理财计划风险揭示书、理财计划产品说明书、投资者权益须知及理财计划投资协议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spacing w:line="360" w:lineRule="auto"/>
        <w:ind w:firstLine="482" w:firstLineChars="200"/>
        <w:rPr>
          <w:b/>
          <w:bCs/>
        </w:rPr>
      </w:pPr>
      <w:r>
        <w:rPr>
          <w:rFonts w:hint="eastAsia"/>
          <w:b/>
          <w:bCs/>
        </w:rPr>
        <w:t>理财非存款、产品有风险、投资须谨慎，理财计划过往业绩不代表其未来表现，不等于理财计划实际收益。</w:t>
      </w:r>
    </w:p>
    <w:p>
      <w:pPr>
        <w:widowControl/>
        <w:spacing w:line="360" w:lineRule="auto"/>
        <w:ind w:firstLine="480" w:firstLineChars="200"/>
        <w:rPr>
          <w:rFonts w:hint="eastAsia"/>
        </w:rPr>
      </w:pPr>
      <w:r>
        <w:rPr>
          <w:rFonts w:hint="eastAsia"/>
        </w:rPr>
        <w:t>理财计划销售的相关法律主体为发行理财计划的理财公司、理财公司自有销售渠道以及接受理财公司委托销售其发行理财计划的代理销售机构（以下简称“销售机构”）和投资者三方。理财公司是理财计划的设计发行方与管理人，理财公司和销售机构面向投资者实施销售行为，两方共同承担理财计划的合规销售和投资者合法权益保护义务。</w:t>
      </w:r>
    </w:p>
    <w:p>
      <w:pPr>
        <w:widowControl/>
        <w:spacing w:line="360" w:lineRule="auto"/>
        <w:ind w:firstLine="480" w:firstLineChars="200"/>
        <w:rPr>
          <w:rFonts w:hint="eastAsia"/>
        </w:rPr>
      </w:pPr>
      <w:r>
        <w:rPr>
          <w:rFonts w:hint="eastAsia"/>
        </w:rPr>
        <w:t>投资者与销售机构经平等友好协商，本着自愿、诚实信用原则，就投资者购买销售机构代理销售的理财计划有关事宜达成如下协议（以下简称“本协议”）：</w:t>
      </w:r>
    </w:p>
    <w:p>
      <w:pPr>
        <w:widowControl/>
        <w:spacing w:line="360" w:lineRule="auto"/>
        <w:ind w:firstLine="480" w:firstLineChars="200"/>
        <w:rPr>
          <w:rFonts w:hint="eastAsia"/>
        </w:rPr>
      </w:pPr>
    </w:p>
    <w:p>
      <w:pPr>
        <w:widowControl/>
        <w:spacing w:line="360" w:lineRule="auto"/>
        <w:ind w:firstLine="482" w:firstLineChars="200"/>
        <w:outlineLvl w:val="1"/>
        <w:rPr>
          <w:rFonts w:hint="eastAsia"/>
          <w:b/>
          <w:bCs/>
        </w:rPr>
      </w:pPr>
      <w:r>
        <w:rPr>
          <w:rFonts w:hint="eastAsia"/>
          <w:b/>
          <w:bCs/>
        </w:rPr>
        <w:t>第一条 名词释义</w:t>
      </w:r>
    </w:p>
    <w:p>
      <w:pPr>
        <w:widowControl/>
        <w:spacing w:line="360" w:lineRule="auto"/>
        <w:ind w:firstLine="480" w:firstLineChars="200"/>
        <w:jc w:val="left"/>
        <w:rPr>
          <w:rFonts w:hint="eastAsia"/>
          <w:bCs/>
        </w:rPr>
      </w:pPr>
      <w:r>
        <w:rPr>
          <w:rFonts w:hint="eastAsia"/>
          <w:bCs/>
        </w:rPr>
        <w:t>详见对应期次的理财计划产品说明书“释义”部分。</w:t>
      </w:r>
    </w:p>
    <w:p>
      <w:pPr>
        <w:widowControl/>
        <w:spacing w:line="360" w:lineRule="auto"/>
        <w:ind w:firstLine="480" w:firstLineChars="200"/>
        <w:jc w:val="left"/>
        <w:rPr>
          <w:rFonts w:hint="eastAsia"/>
          <w:bCs/>
        </w:rPr>
      </w:pPr>
    </w:p>
    <w:p>
      <w:pPr>
        <w:widowControl/>
        <w:spacing w:line="360" w:lineRule="auto"/>
        <w:ind w:firstLine="482" w:firstLineChars="200"/>
        <w:jc w:val="left"/>
        <w:outlineLvl w:val="1"/>
        <w:rPr>
          <w:rFonts w:hint="eastAsia"/>
          <w:b/>
          <w:bCs/>
        </w:rPr>
      </w:pPr>
      <w:r>
        <w:rPr>
          <w:rFonts w:hint="eastAsia"/>
          <w:b/>
          <w:bCs/>
        </w:rPr>
        <w:t>第二条 投资者权利与义务</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78"/>
        </w:numPr>
        <w:spacing w:line="360" w:lineRule="auto"/>
        <w:ind w:firstLine="482" w:firstLineChars="200"/>
        <w:contextualSpacing/>
        <w:outlineLvl w:val="2"/>
        <w:rPr>
          <w:rFonts w:hint="eastAsia" w:ascii="宋体" w:hAnsi="宋体"/>
        </w:rPr>
      </w:pPr>
      <w:r>
        <w:rPr>
          <w:rFonts w:hint="eastAsia" w:ascii="宋体" w:hAnsi="宋体"/>
          <w:b/>
          <w:bCs/>
        </w:rPr>
        <w:t>投资者购买销售机构代理销售的私募理财计划后，可以享有24 小时的投资冷静期，在投资冷静期内，如投资者改变投资决定，应提出解除相应理财计划合同文件申请，销售机构将及时退还投资者的全部投资款项。</w:t>
      </w:r>
      <w:r>
        <w:rPr>
          <w:rFonts w:hint="eastAsia" w:ascii="宋体" w:hAnsi="宋体"/>
        </w:rPr>
        <w:t>投资冷静期相关约定详见理财计划产品说明书。</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投资者保证其有权利签署本协议和履行本协议所述的义务，并已为此采取一切所需的行为。</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numPr>
          <w:ilvl w:val="0"/>
          <w:numId w:val="78"/>
        </w:numPr>
        <w:spacing w:line="360" w:lineRule="auto"/>
        <w:ind w:firstLine="482" w:firstLineChars="200"/>
        <w:contextualSpacing/>
        <w:outlineLvl w:val="2"/>
        <w:rPr>
          <w:rFonts w:hint="eastAsia" w:ascii="宋体" w:hAnsi="宋体"/>
        </w:rPr>
      </w:pPr>
      <w:r>
        <w:rPr>
          <w:rFonts w:hint="eastAsia" w:ascii="宋体" w:hAnsi="宋体"/>
          <w:b/>
          <w:bCs/>
        </w:rPr>
        <w:t>投资者在此确认销售机构的系统记录以及录音、录像构成对投资者操作行为（包括但不限于购买、赎回、撤单）的有效证据，并且在双方发生争议时可以作为合法有效的证据使用</w:t>
      </w:r>
      <w:r>
        <w:rPr>
          <w:rFonts w:hint="eastAsia" w:ascii="宋体" w:hAnsi="宋体"/>
        </w:rPr>
        <w:t>。</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销售机构对此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在本理财计划存续期内，如有权机关要求销售机构配合对投资者理财份额、理财账户、授权指定账户进行查封、冻结或扣划的，销售机构有权根据实际情况采取相应措施。销售机构对上述后果不承担任何责任。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本协议终止前，投资者不得将授权指定账户销户。若发生因投资者注销授权指定账户造成理财计划无法正常兑付的，销售机构不承担任何责任。</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投资者应确保其提供的所有资料真实、完整、合法、有效，如果有任何变更，投资者应及时通知销售机构并办理变更手续。如因投资者未及时通知销售机构并办理相应的变更手续，由此导致的一切后果由投资者自行承担，销售机构对此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投资者对本协议及其条款负有保密义务，未经销售机构书面许可，不得向任何组织、个人提供或泄露与销售机构有关的业务资料及信息，但法律、法规另有规定的除外。</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投资者进行投资时，应严格遵守反洗钱相关法规的规定，切实履行反洗钱及反恐怖融资义务。</w:t>
      </w:r>
    </w:p>
    <w:p>
      <w:pPr>
        <w:widowControl/>
        <w:numPr>
          <w:ilvl w:val="0"/>
          <w:numId w:val="78"/>
        </w:numPr>
        <w:spacing w:line="360" w:lineRule="auto"/>
        <w:ind w:firstLine="482" w:firstLineChars="200"/>
        <w:contextualSpacing/>
        <w:outlineLvl w:val="2"/>
        <w:rPr>
          <w:rFonts w:hint="eastAsia" w:ascii="宋体" w:hAnsi="宋体"/>
          <w:b/>
          <w:bCs/>
        </w:rPr>
      </w:pPr>
      <w:r>
        <w:rPr>
          <w:rFonts w:hint="eastAsia" w:ascii="宋体" w:hAnsi="宋体"/>
          <w:b/>
          <w:bCs/>
        </w:rPr>
        <w:t>投资者个人信息授权</w:t>
      </w:r>
    </w:p>
    <w:p>
      <w:pPr>
        <w:widowControl/>
        <w:spacing w:line="360" w:lineRule="auto"/>
        <w:ind w:firstLine="482" w:firstLineChars="200"/>
        <w:contextualSpacing/>
        <w:rPr>
          <w:rFonts w:hint="eastAsia" w:ascii="宋体" w:hAnsi="宋体"/>
          <w:b/>
          <w:bCs/>
        </w:rPr>
      </w:pPr>
      <w:r>
        <w:rPr>
          <w:rFonts w:hint="eastAsia" w:ascii="宋体" w:hAnsi="宋体"/>
          <w:b/>
          <w:bCs/>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8"/>
        </w:numPr>
        <w:spacing w:line="360" w:lineRule="auto"/>
        <w:ind w:firstLine="482" w:firstLineChars="200"/>
        <w:contextualSpacing/>
        <w:outlineLvl w:val="2"/>
        <w:rPr>
          <w:rFonts w:hint="eastAsia" w:ascii="宋体" w:hAnsi="宋体"/>
          <w:b/>
          <w:bCs/>
        </w:rPr>
      </w:pPr>
      <w:r>
        <w:rPr>
          <w:rFonts w:hint="eastAsia" w:ascii="宋体" w:hAnsi="宋体"/>
          <w:b/>
          <w:bCs/>
        </w:rPr>
        <w:t>投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spacing w:line="360" w:lineRule="auto"/>
        <w:ind w:firstLine="482" w:firstLineChars="200"/>
        <w:contextualSpacing/>
        <w:rPr>
          <w:rFonts w:ascii="宋体" w:hAnsi="宋体"/>
          <w:b/>
          <w:bCs/>
        </w:rPr>
      </w:pPr>
    </w:p>
    <w:p>
      <w:pPr>
        <w:widowControl/>
        <w:spacing w:line="360" w:lineRule="auto"/>
        <w:ind w:firstLine="482" w:firstLineChars="200"/>
        <w:outlineLvl w:val="1"/>
        <w:rPr>
          <w:rFonts w:hint="eastAsia"/>
          <w:b/>
          <w:bCs/>
        </w:rPr>
      </w:pPr>
      <w:r>
        <w:rPr>
          <w:rFonts w:hint="eastAsia"/>
          <w:b/>
          <w:bCs/>
        </w:rPr>
        <w:t>第三条 销售机构的权利与义务</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widowControl/>
        <w:numPr>
          <w:ilvl w:val="0"/>
          <w:numId w:val="79"/>
        </w:numPr>
        <w:spacing w:line="360" w:lineRule="auto"/>
        <w:ind w:firstLine="482" w:firstLineChars="200"/>
        <w:contextualSpacing/>
        <w:jc w:val="left"/>
        <w:outlineLvl w:val="2"/>
        <w:rPr>
          <w:rFonts w:hint="eastAsia" w:ascii="宋体" w:hAnsi="宋体"/>
        </w:rPr>
      </w:pPr>
      <w:r>
        <w:rPr>
          <w:rFonts w:hint="eastAsia" w:ascii="宋体" w:hAnsi="宋体"/>
          <w:b/>
          <w:bCs/>
        </w:rPr>
        <w:t>代理销售机构非本计划的发行、管理机构，对本计划的业绩不承担任何保证和其他经济责任，不承担本计划的投资、兑付和风险管理责任</w:t>
      </w:r>
      <w:r>
        <w:rPr>
          <w:rFonts w:hint="eastAsia" w:ascii="宋体" w:hAnsi="宋体"/>
        </w:rPr>
        <w:t>。</w:t>
      </w:r>
    </w:p>
    <w:p>
      <w:pPr>
        <w:widowControl/>
        <w:numPr>
          <w:ilvl w:val="0"/>
          <w:numId w:val="79"/>
        </w:numPr>
        <w:spacing w:line="360" w:lineRule="auto"/>
        <w:ind w:firstLine="480" w:firstLineChars="200"/>
        <w:contextualSpacing/>
        <w:outlineLvl w:val="2"/>
        <w:rPr>
          <w:rFonts w:hint="eastAsia" w:ascii="宋体" w:hAnsi="宋体"/>
        </w:rPr>
      </w:pPr>
      <w:r>
        <w:rPr>
          <w:rFonts w:hint="eastAsia" w:ascii="宋体" w:hAnsi="宋体"/>
        </w:rPr>
        <w:t>销售机构应定期对购买其代理销售的理财计划的非机构投资者进行有效风险承受能力评估，并保证向投资者推介及销售与其风险承受能力匹配的产品。</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numPr>
          <w:ilvl w:val="0"/>
          <w:numId w:val="79"/>
        </w:numPr>
        <w:spacing w:line="360" w:lineRule="auto"/>
        <w:ind w:firstLine="480" w:firstLineChars="200"/>
        <w:contextualSpacing/>
        <w:outlineLvl w:val="2"/>
        <w:rPr>
          <w:rFonts w:hint="eastAsia" w:ascii="宋体" w:hAnsi="宋体"/>
        </w:rPr>
      </w:pPr>
      <w:r>
        <w:rPr>
          <w:rFonts w:hint="eastAsia" w:ascii="宋体" w:hAnsi="宋体"/>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销售机构应建立健全上岗资格、持续培训、信息公示与查询核实等制度并有效执行。未经销售机构进行上岗资格认定并签订劳动合同，任何人员不得从事理财计划销售业务活动。</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销售机构应对所有销售人员信息进行登记和公示。销售人员在向投资者宣传销售理财计划前进行自我介绍并告知信息查询和核实渠道，便于投资者查询核实，防止伪冒身份和虚假宣传。</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销售机构对投资者负有信息保密义务，未经投资者书面许可，乙方不得向任何组织、个人提供或泄露与甲方有关的业务资料及信息，但法律、法规另有规定的除外。</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销售机构应按照法律法规、监管规定、理财计划合同的约定收取销售费用，并如实核算、记账。未经载明，不得对不同投资者适用不同费率。</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理财计划销售结算资金属于理财计划投资者，销售机构不得挪用理财计划销售结算资金或将理财计划销售结算资金归入自有资产。</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销售机构应遵守相关法律、法规、监管规定及理财计划合同约定，诚实守信、勤勉尽责，向购买理财计划的投资者充分传递管理人披露的产品相关信息并进行充分的风险揭示。</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销售机构应当充分利用科技手段，加强对伪冒网站、伪冒产品等监测，有效防范各类欺诈风险。</w:t>
      </w:r>
    </w:p>
    <w:p>
      <w:pPr>
        <w:widowControl/>
        <w:spacing w:line="360" w:lineRule="auto"/>
        <w:ind w:left="482"/>
        <w:contextualSpacing/>
        <w:jc w:val="left"/>
        <w:rPr>
          <w:rFonts w:hint="eastAsia" w:ascii="宋体" w:hAnsi="宋体"/>
          <w:b/>
          <w:bCs/>
        </w:rPr>
      </w:pPr>
    </w:p>
    <w:p>
      <w:pPr>
        <w:widowControl/>
        <w:spacing w:line="360" w:lineRule="auto"/>
        <w:ind w:firstLine="482" w:firstLineChars="200"/>
        <w:outlineLvl w:val="1"/>
        <w:rPr>
          <w:rFonts w:hint="eastAsia"/>
          <w:b/>
          <w:bCs/>
        </w:rPr>
      </w:pPr>
      <w:r>
        <w:rPr>
          <w:rFonts w:hint="eastAsia"/>
          <w:b/>
          <w:bCs/>
        </w:rPr>
        <w:t>第四条 理财计划认（申）购、赎回及终止</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理财计划认/申购办理流程：参照投资者权益须知约定。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理财计划认/申购确认：管理人根据销售渠道提供的交易信息及资金划付对投资者相应认/申购进行确认。</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销售机构将按对应期次的理财计划产品说明书约定条款向投资者进行公告，并将及时解除对投资者授权指定账户中认购资金的冻结。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理财计划赎回/终止兑付：在正常情况下，管理人和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销售机构将于原约定清算日前通过信息披露途径及时通知，并根据实际情况进行后续处理。</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资金清算：理财计划终止或份额赎回时，管理人按理财计划合同约定划付至销售机构清算账户后，由销售机构向投资者划付投资者应得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widowControl/>
        <w:spacing w:line="360" w:lineRule="auto"/>
        <w:ind w:left="204" w:leftChars="85"/>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第五条 违约责任及免责条款</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若因投资者原因导致司法或行政等有权机关采取强制措施对其理财本金、收益进行部分或全部被扣划，均视投资者本人就全部理财本金进行了提前赎回，本协议自动终止。因提前终止而产生的损失及相关费用由投资者承担。本协议因前述情况终止的，理财本金不计付赎回日前的理财收益，也不计付存款利息。</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投资者违反本协议第二条内容，应承担相应违约责任。销售机构对由此导致的理财业务交易延误、中断、终止及投资者损失不承担任何责任，并有权单方终止双方理财业务关系。因投资者违反双方约定给销售机构或全体投资者造成损失的，投资者应承担相应的赔偿责任。</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若由于销售机构过错导致理财计划资产发生损失，销售机构应按其过错承担赔偿责任，销售机构赔偿的款项计入理财计划的资产和收益。</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由于地震、火灾、战争等不可抗力或突发重大卫生公共事件等不可预测事件造成的交易中断、延误等风险及损失，销售机构不承担责任；但销售机构应在上述情况发生后在条件允许时及时通知投资者并采取一切必要且可能的措施阻止损失扩大。</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因国家有关法律、法规、规章、政策的修改或新的法律、法规、规章、政策颁布以及紧急措施的出台导致的风险及损失，销售机构不承担责任。</w:t>
      </w:r>
    </w:p>
    <w:p>
      <w:pPr>
        <w:widowControl/>
        <w:spacing w:line="360" w:lineRule="auto"/>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第六条 适用法律与争议解决</w:t>
      </w:r>
    </w:p>
    <w:p>
      <w:pPr>
        <w:widowControl/>
        <w:spacing w:line="360" w:lineRule="auto"/>
        <w:ind w:firstLine="480" w:firstLineChars="200"/>
        <w:contextualSpacing/>
        <w:rPr>
          <w:rFonts w:hint="eastAsia" w:ascii="宋体" w:hAnsi="宋体"/>
        </w:rPr>
      </w:pPr>
      <w:r>
        <w:rPr>
          <w:rFonts w:hint="eastAsia" w:ascii="宋体" w:hAnsi="宋体"/>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销售机构或管理人所在地人民法院诉讼解决。诉讼期间，未涉及争议的条款仍需继续履行。</w:t>
      </w:r>
    </w:p>
    <w:p>
      <w:pPr>
        <w:widowControl/>
        <w:spacing w:line="360" w:lineRule="auto"/>
        <w:ind w:firstLine="482" w:firstLineChars="200"/>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第七条 协议生效和终止</w:t>
      </w:r>
    </w:p>
    <w:p>
      <w:pPr>
        <w:widowControl/>
        <w:numPr>
          <w:ilvl w:val="0"/>
          <w:numId w:val="82"/>
        </w:numPr>
        <w:spacing w:line="360" w:lineRule="auto"/>
        <w:ind w:firstLine="480" w:firstLineChars="200"/>
        <w:contextualSpacing/>
        <w:outlineLvl w:val="2"/>
        <w:rPr>
          <w:rFonts w:hint="eastAsia" w:ascii="宋体" w:hAnsi="宋体"/>
        </w:rPr>
      </w:pPr>
      <w:r>
        <w:rPr>
          <w:rFonts w:hint="eastAsia" w:ascii="宋体" w:hAnsi="宋体"/>
        </w:rPr>
        <w:t xml:space="preserve">投资者和销售机构双方认可本协议可以纸质或电子数据等形式提交、订立或确认。 </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 xml:space="preserve">本协议书以纸质书面形式订立的，自投资者签字和销售机构签章之后立即生效。协议一式叁份，投资者、管理人和销售机构各执壹份，具有同等法律效力。 </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本协议书以数据电文形式订立的，投资者在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投资者和销售机构双方在本协议及对应期次的理财计划产品说明书项下权利义务履行完毕之日，本协议自动终止。</w:t>
      </w:r>
    </w:p>
    <w:p>
      <w:pPr>
        <w:widowControl/>
        <w:spacing w:line="360" w:lineRule="auto"/>
        <w:ind w:left="420"/>
        <w:contextualSpacing/>
        <w:rPr>
          <w:rFonts w:hint="eastAsia" w:ascii="宋体" w:hAnsi="宋体"/>
        </w:rPr>
      </w:pPr>
    </w:p>
    <w:p>
      <w:pPr>
        <w:widowControl/>
        <w:spacing w:line="360" w:lineRule="auto"/>
        <w:ind w:firstLine="482" w:firstLineChars="200"/>
        <w:outlineLvl w:val="1"/>
        <w:rPr>
          <w:rFonts w:hint="eastAsia"/>
          <w:b/>
        </w:rPr>
      </w:pPr>
      <w:r>
        <w:rPr>
          <w:rFonts w:hint="eastAsia"/>
          <w:b/>
        </w:rPr>
        <w:t xml:space="preserve">第八条 附则 </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如果投资者与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在理财计划存续期内，如因监管政策或法律法规发生变化，在不损害投资者利益的前提下，管理人有权单方对理财计划</w:t>
      </w:r>
      <w:r>
        <w:rPr>
          <w:rFonts w:ascii="宋体" w:hAnsi="宋体"/>
        </w:rPr>
        <w:t>合同</w:t>
      </w:r>
      <w:r>
        <w:rPr>
          <w:rFonts w:hint="eastAsia" w:ascii="宋体" w:hAnsi="宋体"/>
        </w:rPr>
        <w:t>销售文件进行修订。</w:t>
      </w:r>
    </w:p>
    <w:p>
      <w:pPr>
        <w:widowControl/>
        <w:spacing w:line="360" w:lineRule="auto"/>
        <w:contextualSpacing/>
        <w:rPr>
          <w:rFonts w:hint="eastAsia" w:ascii="宋体" w:hAnsi="宋体"/>
        </w:rPr>
      </w:pPr>
    </w:p>
    <w:p>
      <w:pPr>
        <w:spacing w:line="360" w:lineRule="auto"/>
      </w:pPr>
    </w:p>
    <w:p>
      <w:pPr>
        <w:spacing w:line="360" w:lineRule="auto"/>
      </w:pPr>
    </w:p>
    <w:p>
      <w:pPr>
        <w:widowControl/>
        <w:spacing w:line="360" w:lineRule="auto"/>
        <w:jc w:val="right"/>
        <w:rPr>
          <w:rFonts w:hint="eastAsia" w:ascii="宋体" w:hAnsi="Wingdings" w:cs="宋体"/>
          <w:color w:val="000000"/>
          <w:kern w:val="0"/>
        </w:rPr>
      </w:pPr>
      <w:r>
        <w:rPr>
          <w:rFonts w:hint="eastAsia" w:ascii="宋体" w:hAnsi="宋体" w:cs="宋体"/>
          <w:kern w:val="0"/>
        </w:rPr>
        <w:t>杭银理财有限责任公司</w:t>
      </w:r>
    </w:p>
    <w:p>
      <w:pPr>
        <w:spacing w:line="360" w:lineRule="auto"/>
      </w:pPr>
    </w:p>
    <w:p>
      <w:pPr>
        <w:spacing w:line="360" w:lineRule="auto"/>
      </w:pPr>
    </w:p>
    <w:p>
      <w:pPr>
        <w:spacing w:line="360" w:lineRule="auto"/>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ascii="宋体" w:hAnsi="宋体"/>
        </w:rPr>
      </w:pPr>
      <w:r>
        <w:rPr>
          <w:rFonts w:hint="eastAsia" w:ascii="宋体" w:hAnsi="宋体"/>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eastAsia" w:ascii="宋体" w:hAnsi="宋体"/>
          <w:b/>
          <w:bCs/>
        </w:rPr>
      </w:pPr>
      <w:r>
        <w:rPr>
          <w:rFonts w:hint="eastAsia" w:ascii="宋体" w:hAnsi="宋体"/>
          <w:b/>
          <w:bCs/>
        </w:rPr>
        <w:t>投资者（签字或签章）：</w:t>
      </w:r>
    </w:p>
    <w:p>
      <w:pPr>
        <w:spacing w:before="156" w:beforeLines="50" w:after="156" w:afterLines="50" w:line="360" w:lineRule="auto"/>
        <w:ind w:firstLine="4800" w:firstLineChars="2000"/>
        <w:jc w:val="right"/>
        <w:rPr>
          <w:rFonts w:hint="eastAsia" w:ascii="Arial" w:hAnsi="Arial"/>
        </w:rPr>
      </w:pPr>
      <w:r>
        <w:rPr>
          <w:rFonts w:hint="eastAsia" w:ascii="Arial" w:hAnsi="Arial"/>
        </w:rPr>
        <w:t xml:space="preserve">   年   月   日</w:t>
      </w: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r>
        <w:rPr>
          <w:rFonts w:hint="eastAsia" w:ascii="宋体" w:hAnsi="宋体"/>
          <w:b/>
          <w:bCs/>
        </w:rPr>
        <w:t>销售机构签章：</w:t>
      </w:r>
    </w:p>
    <w:p>
      <w:pPr>
        <w:spacing w:line="360" w:lineRule="auto"/>
        <w:rPr>
          <w:rFonts w:hint="eastAsia" w:ascii="宋体" w:hAnsi="宋体"/>
          <w:b/>
          <w:bCs/>
        </w:rPr>
      </w:pPr>
    </w:p>
    <w:p>
      <w:pPr>
        <w:spacing w:line="360" w:lineRule="auto"/>
        <w:rPr>
          <w:rFonts w:hint="eastAsia" w:ascii="宋体" w:hAnsi="宋体"/>
          <w:b/>
          <w:bCs/>
        </w:rPr>
      </w:pPr>
    </w:p>
    <w:p>
      <w:pPr>
        <w:spacing w:before="156" w:beforeLines="50" w:after="156" w:afterLines="50" w:line="360" w:lineRule="auto"/>
        <w:ind w:firstLine="4800" w:firstLineChars="2000"/>
        <w:jc w:val="right"/>
        <w:rPr>
          <w:rFonts w:hint="eastAsia" w:ascii="Arial" w:hAnsi="Arial"/>
        </w:rPr>
      </w:pPr>
      <w:r>
        <w:rPr>
          <w:rFonts w:hint="eastAsia" w:ascii="Arial" w:hAnsi="Arial"/>
        </w:rPr>
        <w:t xml:space="preserve">   年   月   日</w:t>
      </w:r>
    </w:p>
    <w:p>
      <w:pPr>
        <w:spacing w:line="360" w:lineRule="auto"/>
        <w:rPr>
          <w:rFonts w:ascii="宋体" w:hAnsi="宋体" w:cs="宋体"/>
          <w:bCs/>
          <w:color w:val="00000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b/>
        <w:bCs/>
      </w:rPr>
    </w:pPr>
    <w:r>
      <w:rPr>
        <w:b/>
        <w:bCs/>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rPr>
      <w:t>理财非存款 产品有风险 投资需谨慎</w:t>
    </w:r>
    <w:r>
      <w:rPr>
        <w:rFonts w:hint="eastAsia"/>
        <w:b/>
        <w:bCs/>
        <w:color w:val="FF0000"/>
      </w:rPr>
      <w:t xml:space="preserve">  </w:t>
    </w:r>
    <w:r>
      <w:rPr>
        <w:rFonts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2">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3">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4">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5">
    <w:nsid w:val="D8D75090"/>
    <w:multiLevelType w:val="singleLevel"/>
    <w:tmpl w:val="D8D75090"/>
    <w:lvl w:ilvl="0" w:tentative="0">
      <w:start w:val="1"/>
      <w:numFmt w:val="decimal"/>
      <w:suff w:val="nothing"/>
      <w:lvlText w:val="（%1）"/>
      <w:lvlJc w:val="left"/>
      <w:rPr>
        <w:rFonts w:hint="default"/>
        <w:b w:val="0"/>
        <w:bCs w:val="0"/>
      </w:rPr>
    </w:lvl>
  </w:abstractNum>
  <w:abstractNum w:abstractNumId="26">
    <w:nsid w:val="DD2251DF"/>
    <w:multiLevelType w:val="singleLevel"/>
    <w:tmpl w:val="DD2251DF"/>
    <w:lvl w:ilvl="0" w:tentative="0">
      <w:start w:val="1"/>
      <w:numFmt w:val="decimal"/>
      <w:suff w:val="nothing"/>
      <w:lvlText w:val="（%1）"/>
      <w:lvlJc w:val="left"/>
      <w:rPr>
        <w:rFonts w:hint="default"/>
        <w:b w:val="0"/>
        <w:bCs w:val="0"/>
      </w:rPr>
    </w:lvl>
  </w:abstractNum>
  <w:abstractNum w:abstractNumId="27">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8">
    <w:nsid w:val="E70DF796"/>
    <w:multiLevelType w:val="singleLevel"/>
    <w:tmpl w:val="E70DF796"/>
    <w:lvl w:ilvl="0" w:tentative="0">
      <w:start w:val="1"/>
      <w:numFmt w:val="decimal"/>
      <w:suff w:val="nothing"/>
      <w:lvlText w:val="（%1）"/>
      <w:lvlJc w:val="left"/>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6">
    <w:nsid w:val="084A6179"/>
    <w:multiLevelType w:val="singleLevel"/>
    <w:tmpl w:val="084A6179"/>
    <w:lvl w:ilvl="0" w:tentative="0">
      <w:start w:val="1"/>
      <w:numFmt w:val="decimal"/>
      <w:suff w:val="nothing"/>
      <w:lvlText w:val="（%1）"/>
      <w:lvlJc w:val="left"/>
      <w:rPr>
        <w:rFonts w:hint="default"/>
        <w:highlight w:val="none"/>
      </w:rPr>
    </w:lvl>
  </w:abstractNum>
  <w:abstractNum w:abstractNumId="37">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21"/>
  </w:num>
  <w:num w:numId="6">
    <w:abstractNumId w:val="82"/>
  </w:num>
  <w:num w:numId="7">
    <w:abstractNumId w:val="37"/>
  </w:num>
  <w:num w:numId="8">
    <w:abstractNumId w:val="83"/>
  </w:num>
  <w:num w:numId="9">
    <w:abstractNumId w:val="57"/>
  </w:num>
  <w:num w:numId="10">
    <w:abstractNumId w:val="53"/>
  </w:num>
  <w:num w:numId="11">
    <w:abstractNumId w:val="34"/>
  </w:num>
  <w:num w:numId="12">
    <w:abstractNumId w:val="31"/>
  </w:num>
  <w:num w:numId="13">
    <w:abstractNumId w:val="39"/>
  </w:num>
  <w:num w:numId="14">
    <w:abstractNumId w:val="30"/>
  </w:num>
  <w:num w:numId="15">
    <w:abstractNumId w:val="22"/>
  </w:num>
  <w:num w:numId="16">
    <w:abstractNumId w:val="11"/>
  </w:num>
  <w:num w:numId="17">
    <w:abstractNumId w:val="18"/>
  </w:num>
  <w:num w:numId="18">
    <w:abstractNumId w:val="8"/>
  </w:num>
  <w:num w:numId="19">
    <w:abstractNumId w:val="9"/>
  </w:num>
  <w:num w:numId="20">
    <w:abstractNumId w:val="7"/>
  </w:num>
  <w:num w:numId="21">
    <w:abstractNumId w:val="38"/>
  </w:num>
  <w:num w:numId="22">
    <w:abstractNumId w:val="52"/>
  </w:num>
  <w:num w:numId="23">
    <w:abstractNumId w:val="33"/>
  </w:num>
  <w:num w:numId="24">
    <w:abstractNumId w:val="54"/>
  </w:num>
  <w:num w:numId="25">
    <w:abstractNumId w:val="59"/>
  </w:num>
  <w:num w:numId="26">
    <w:abstractNumId w:val="45"/>
  </w:num>
  <w:num w:numId="27">
    <w:abstractNumId w:val="20"/>
  </w:num>
  <w:num w:numId="28">
    <w:abstractNumId w:val="44"/>
  </w:num>
  <w:num w:numId="29">
    <w:abstractNumId w:val="24"/>
  </w:num>
  <w:num w:numId="30">
    <w:abstractNumId w:val="6"/>
  </w:num>
  <w:num w:numId="31">
    <w:abstractNumId w:val="56"/>
  </w:num>
  <w:num w:numId="32">
    <w:abstractNumId w:val="5"/>
  </w:num>
  <w:num w:numId="33">
    <w:abstractNumId w:val="36"/>
  </w:num>
  <w:num w:numId="34">
    <w:abstractNumId w:val="42"/>
  </w:num>
  <w:num w:numId="35">
    <w:abstractNumId w:val="81"/>
  </w:num>
  <w:num w:numId="36">
    <w:abstractNumId w:val="35"/>
  </w:num>
  <w:num w:numId="37">
    <w:abstractNumId w:val="23"/>
  </w:num>
  <w:num w:numId="38">
    <w:abstractNumId w:val="47"/>
  </w:num>
  <w:num w:numId="39">
    <w:abstractNumId w:val="0"/>
  </w:num>
  <w:num w:numId="40">
    <w:abstractNumId w:val="26"/>
  </w:num>
  <w:num w:numId="41">
    <w:abstractNumId w:val="50"/>
  </w:num>
  <w:num w:numId="42">
    <w:abstractNumId w:val="3"/>
  </w:num>
  <w:num w:numId="43">
    <w:abstractNumId w:val="27"/>
  </w:num>
  <w:num w:numId="44">
    <w:abstractNumId w:val="17"/>
  </w:num>
  <w:num w:numId="45">
    <w:abstractNumId w:val="55"/>
  </w:num>
  <w:num w:numId="46">
    <w:abstractNumId w:val="40"/>
  </w:num>
  <w:num w:numId="47">
    <w:abstractNumId w:val="19"/>
  </w:num>
  <w:num w:numId="48">
    <w:abstractNumId w:val="32"/>
  </w:num>
  <w:num w:numId="49">
    <w:abstractNumId w:val="28"/>
  </w:num>
  <w:num w:numId="50">
    <w:abstractNumId w:val="29"/>
  </w:num>
  <w:num w:numId="51">
    <w:abstractNumId w:val="80"/>
  </w:num>
  <w:num w:numId="52">
    <w:abstractNumId w:val="46"/>
  </w:num>
  <w:num w:numId="53">
    <w:abstractNumId w:val="2"/>
  </w:num>
  <w:num w:numId="54">
    <w:abstractNumId w:val="58"/>
  </w:num>
  <w:num w:numId="55">
    <w:abstractNumId w:val="12"/>
  </w:num>
  <w:num w:numId="56">
    <w:abstractNumId w:val="10"/>
  </w:num>
  <w:num w:numId="57">
    <w:abstractNumId w:val="13"/>
  </w:num>
  <w:num w:numId="58">
    <w:abstractNumId w:val="41"/>
  </w:num>
  <w:num w:numId="59">
    <w:abstractNumId w:val="25"/>
  </w:num>
  <w:num w:numId="60">
    <w:abstractNumId w:val="4"/>
  </w:num>
  <w:num w:numId="61">
    <w:abstractNumId w:val="49"/>
  </w:num>
  <w:num w:numId="62">
    <w:abstractNumId w:val="67"/>
  </w:num>
  <w:num w:numId="63">
    <w:abstractNumId w:val="66"/>
  </w:num>
  <w:num w:numId="64">
    <w:abstractNumId w:val="68"/>
  </w:num>
  <w:num w:numId="65">
    <w:abstractNumId w:val="69"/>
  </w:num>
  <w:num w:numId="66">
    <w:abstractNumId w:val="70"/>
  </w:num>
  <w:num w:numId="67">
    <w:abstractNumId w:val="71"/>
  </w:num>
  <w:num w:numId="68">
    <w:abstractNumId w:val="72"/>
  </w:num>
  <w:num w:numId="69">
    <w:abstractNumId w:val="73"/>
  </w:num>
  <w:num w:numId="70">
    <w:abstractNumId w:val="48"/>
  </w:num>
  <w:num w:numId="71">
    <w:abstractNumId w:val="16"/>
  </w:num>
  <w:num w:numId="72">
    <w:abstractNumId w:val="60"/>
  </w:num>
  <w:num w:numId="73">
    <w:abstractNumId w:val="61"/>
  </w:num>
  <w:num w:numId="74">
    <w:abstractNumId w:val="62"/>
  </w:num>
  <w:num w:numId="75">
    <w:abstractNumId w:val="63"/>
  </w:num>
  <w:num w:numId="76">
    <w:abstractNumId w:val="64"/>
  </w:num>
  <w:num w:numId="77">
    <w:abstractNumId w:val="65"/>
  </w:num>
  <w:num w:numId="78">
    <w:abstractNumId w:val="74"/>
  </w:num>
  <w:num w:numId="79">
    <w:abstractNumId w:val="75"/>
  </w:num>
  <w:num w:numId="80">
    <w:abstractNumId w:val="15"/>
  </w:num>
  <w:num w:numId="81">
    <w:abstractNumId w:val="76"/>
  </w:num>
  <w:num w:numId="82">
    <w:abstractNumId w:val="77"/>
  </w:num>
  <w:num w:numId="83">
    <w:abstractNumId w:val="78"/>
  </w:num>
  <w:num w:numId="8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2A7986"/>
    <w:rsid w:val="004A3A51"/>
    <w:rsid w:val="004F1AB2"/>
    <w:rsid w:val="007C012C"/>
    <w:rsid w:val="008C59F7"/>
    <w:rsid w:val="00B234C2"/>
    <w:rsid w:val="00C2766C"/>
    <w:rsid w:val="00C61102"/>
    <w:rsid w:val="00D5498D"/>
    <w:rsid w:val="00F81186"/>
    <w:rsid w:val="01364432"/>
    <w:rsid w:val="01523B8E"/>
    <w:rsid w:val="01E60817"/>
    <w:rsid w:val="01FD241C"/>
    <w:rsid w:val="02FB5178"/>
    <w:rsid w:val="031A641B"/>
    <w:rsid w:val="046C4318"/>
    <w:rsid w:val="05E05E4D"/>
    <w:rsid w:val="06420CFA"/>
    <w:rsid w:val="06503B59"/>
    <w:rsid w:val="06F301FD"/>
    <w:rsid w:val="0752555A"/>
    <w:rsid w:val="07E45984"/>
    <w:rsid w:val="0828699A"/>
    <w:rsid w:val="087D4021"/>
    <w:rsid w:val="09155E8F"/>
    <w:rsid w:val="097E3F67"/>
    <w:rsid w:val="099F5B56"/>
    <w:rsid w:val="09A37E25"/>
    <w:rsid w:val="0A0C6349"/>
    <w:rsid w:val="0A1347F5"/>
    <w:rsid w:val="0A1F3796"/>
    <w:rsid w:val="0A2A32B9"/>
    <w:rsid w:val="0B8E27E3"/>
    <w:rsid w:val="0BF71AE2"/>
    <w:rsid w:val="0C9C7394"/>
    <w:rsid w:val="0CA6603D"/>
    <w:rsid w:val="0D0B1B00"/>
    <w:rsid w:val="0D3F210A"/>
    <w:rsid w:val="0DEF72FB"/>
    <w:rsid w:val="0E36795A"/>
    <w:rsid w:val="0E4A4B6F"/>
    <w:rsid w:val="0E9465E2"/>
    <w:rsid w:val="0EAE473F"/>
    <w:rsid w:val="0EF65480"/>
    <w:rsid w:val="0F3349D0"/>
    <w:rsid w:val="0FE6637F"/>
    <w:rsid w:val="10776FA2"/>
    <w:rsid w:val="10E7087B"/>
    <w:rsid w:val="10FA5463"/>
    <w:rsid w:val="11BA058F"/>
    <w:rsid w:val="12081858"/>
    <w:rsid w:val="12B62B3B"/>
    <w:rsid w:val="12F57C75"/>
    <w:rsid w:val="12F96486"/>
    <w:rsid w:val="13031153"/>
    <w:rsid w:val="13181417"/>
    <w:rsid w:val="135A629F"/>
    <w:rsid w:val="13CF7B8E"/>
    <w:rsid w:val="14B80FF2"/>
    <w:rsid w:val="14C57FED"/>
    <w:rsid w:val="150C5665"/>
    <w:rsid w:val="15C56302"/>
    <w:rsid w:val="160940BB"/>
    <w:rsid w:val="161F6E18"/>
    <w:rsid w:val="1659752C"/>
    <w:rsid w:val="16BC19D9"/>
    <w:rsid w:val="16E43A7F"/>
    <w:rsid w:val="173B243E"/>
    <w:rsid w:val="175F7C56"/>
    <w:rsid w:val="185A3DA1"/>
    <w:rsid w:val="186223C0"/>
    <w:rsid w:val="1954515B"/>
    <w:rsid w:val="198C4B50"/>
    <w:rsid w:val="19DA4F78"/>
    <w:rsid w:val="19F13F4F"/>
    <w:rsid w:val="1A102675"/>
    <w:rsid w:val="1B280245"/>
    <w:rsid w:val="1B581220"/>
    <w:rsid w:val="1B843575"/>
    <w:rsid w:val="1BBE4697"/>
    <w:rsid w:val="1D4D5B7F"/>
    <w:rsid w:val="1D552DD9"/>
    <w:rsid w:val="1DAB6D83"/>
    <w:rsid w:val="1DF22ABC"/>
    <w:rsid w:val="1E3173A3"/>
    <w:rsid w:val="1E792E51"/>
    <w:rsid w:val="1F0F5A19"/>
    <w:rsid w:val="1F1D6E1F"/>
    <w:rsid w:val="1F3E7F7D"/>
    <w:rsid w:val="1F51312D"/>
    <w:rsid w:val="1FC9553A"/>
    <w:rsid w:val="204D3B12"/>
    <w:rsid w:val="205A2AB3"/>
    <w:rsid w:val="20B6224D"/>
    <w:rsid w:val="21025026"/>
    <w:rsid w:val="21036497"/>
    <w:rsid w:val="21C9316A"/>
    <w:rsid w:val="22A04AF7"/>
    <w:rsid w:val="22A73C8E"/>
    <w:rsid w:val="22D3594B"/>
    <w:rsid w:val="22F12819"/>
    <w:rsid w:val="234F46D7"/>
    <w:rsid w:val="235600AA"/>
    <w:rsid w:val="23753F06"/>
    <w:rsid w:val="238E1AAE"/>
    <w:rsid w:val="24030B6D"/>
    <w:rsid w:val="24345B9A"/>
    <w:rsid w:val="245517BD"/>
    <w:rsid w:val="2483647E"/>
    <w:rsid w:val="256F076F"/>
    <w:rsid w:val="25AF7681"/>
    <w:rsid w:val="26820AF7"/>
    <w:rsid w:val="27947E62"/>
    <w:rsid w:val="27EB2573"/>
    <w:rsid w:val="27F57B7A"/>
    <w:rsid w:val="285922A7"/>
    <w:rsid w:val="28612B5D"/>
    <w:rsid w:val="292668E3"/>
    <w:rsid w:val="29361BBD"/>
    <w:rsid w:val="2A124404"/>
    <w:rsid w:val="2A1B5D68"/>
    <w:rsid w:val="2A2D7B42"/>
    <w:rsid w:val="2A5975B6"/>
    <w:rsid w:val="2A991D32"/>
    <w:rsid w:val="2AB92324"/>
    <w:rsid w:val="2AD6555A"/>
    <w:rsid w:val="2B376BE0"/>
    <w:rsid w:val="2C1B1E9D"/>
    <w:rsid w:val="2CAB68C5"/>
    <w:rsid w:val="2DBB33DD"/>
    <w:rsid w:val="2E354AE5"/>
    <w:rsid w:val="2EBC6D03"/>
    <w:rsid w:val="2F196945"/>
    <w:rsid w:val="2F1F666C"/>
    <w:rsid w:val="2F746AB8"/>
    <w:rsid w:val="2FD32A37"/>
    <w:rsid w:val="30045A54"/>
    <w:rsid w:val="30551FFC"/>
    <w:rsid w:val="311F702A"/>
    <w:rsid w:val="31244CFA"/>
    <w:rsid w:val="31A82883"/>
    <w:rsid w:val="320E3E15"/>
    <w:rsid w:val="329D0CFB"/>
    <w:rsid w:val="32B15B31"/>
    <w:rsid w:val="32C937E9"/>
    <w:rsid w:val="333F6AA7"/>
    <w:rsid w:val="3480359E"/>
    <w:rsid w:val="34BE4ED5"/>
    <w:rsid w:val="35476F5E"/>
    <w:rsid w:val="354D3F58"/>
    <w:rsid w:val="359A216E"/>
    <w:rsid w:val="36631FD8"/>
    <w:rsid w:val="36C419F2"/>
    <w:rsid w:val="36E72D9B"/>
    <w:rsid w:val="36FD7080"/>
    <w:rsid w:val="36FE1E1C"/>
    <w:rsid w:val="379F2ED6"/>
    <w:rsid w:val="37CA172C"/>
    <w:rsid w:val="37DC2068"/>
    <w:rsid w:val="38071350"/>
    <w:rsid w:val="38224FD0"/>
    <w:rsid w:val="39775E90"/>
    <w:rsid w:val="39965EB7"/>
    <w:rsid w:val="39AC0F1B"/>
    <w:rsid w:val="3A3E2041"/>
    <w:rsid w:val="3AA660BF"/>
    <w:rsid w:val="3B131EF6"/>
    <w:rsid w:val="3B490D86"/>
    <w:rsid w:val="3BD74075"/>
    <w:rsid w:val="3C2F2290"/>
    <w:rsid w:val="3DBB1114"/>
    <w:rsid w:val="3EA67C14"/>
    <w:rsid w:val="3EAD1B36"/>
    <w:rsid w:val="3EDB4D6E"/>
    <w:rsid w:val="3F056B9E"/>
    <w:rsid w:val="3F354A62"/>
    <w:rsid w:val="3F63246A"/>
    <w:rsid w:val="3FB01289"/>
    <w:rsid w:val="3FE233B8"/>
    <w:rsid w:val="3FF54C55"/>
    <w:rsid w:val="40181F9C"/>
    <w:rsid w:val="406370BC"/>
    <w:rsid w:val="40FB7670"/>
    <w:rsid w:val="41B60000"/>
    <w:rsid w:val="420010CC"/>
    <w:rsid w:val="423C06E2"/>
    <w:rsid w:val="42815397"/>
    <w:rsid w:val="42C94634"/>
    <w:rsid w:val="437B57F9"/>
    <w:rsid w:val="453D5681"/>
    <w:rsid w:val="45540446"/>
    <w:rsid w:val="458F3937"/>
    <w:rsid w:val="459F641E"/>
    <w:rsid w:val="45A93DC9"/>
    <w:rsid w:val="45BB5620"/>
    <w:rsid w:val="45F127ED"/>
    <w:rsid w:val="46263D02"/>
    <w:rsid w:val="46CD66A0"/>
    <w:rsid w:val="472803B7"/>
    <w:rsid w:val="478411E4"/>
    <w:rsid w:val="47F832A9"/>
    <w:rsid w:val="488B59A4"/>
    <w:rsid w:val="48CC5267"/>
    <w:rsid w:val="494502E1"/>
    <w:rsid w:val="4A010AC9"/>
    <w:rsid w:val="4A7F0ADF"/>
    <w:rsid w:val="4AA612F0"/>
    <w:rsid w:val="4B0D3113"/>
    <w:rsid w:val="4C6B0DDA"/>
    <w:rsid w:val="4C6E1306"/>
    <w:rsid w:val="4CC946ED"/>
    <w:rsid w:val="4CF979F4"/>
    <w:rsid w:val="4D8C0BC8"/>
    <w:rsid w:val="4E186164"/>
    <w:rsid w:val="4E247E9A"/>
    <w:rsid w:val="4E2F1033"/>
    <w:rsid w:val="4E8274B0"/>
    <w:rsid w:val="4EA65BC4"/>
    <w:rsid w:val="4EFC1B31"/>
    <w:rsid w:val="4F2836A5"/>
    <w:rsid w:val="4FE606AE"/>
    <w:rsid w:val="4FF363B3"/>
    <w:rsid w:val="501216FC"/>
    <w:rsid w:val="50B73634"/>
    <w:rsid w:val="51434E1B"/>
    <w:rsid w:val="51504FE6"/>
    <w:rsid w:val="54520532"/>
    <w:rsid w:val="54E91D9C"/>
    <w:rsid w:val="55A47BB4"/>
    <w:rsid w:val="56B44788"/>
    <w:rsid w:val="571D52DC"/>
    <w:rsid w:val="57BB6218"/>
    <w:rsid w:val="57FF3AAA"/>
    <w:rsid w:val="583036AF"/>
    <w:rsid w:val="58DD2EEE"/>
    <w:rsid w:val="58E96C7A"/>
    <w:rsid w:val="59263C31"/>
    <w:rsid w:val="59856C69"/>
    <w:rsid w:val="59AD3C67"/>
    <w:rsid w:val="5A4B183F"/>
    <w:rsid w:val="5B0D630F"/>
    <w:rsid w:val="5B602150"/>
    <w:rsid w:val="5B9919B4"/>
    <w:rsid w:val="5BB70148"/>
    <w:rsid w:val="5C3C3DDC"/>
    <w:rsid w:val="5D160516"/>
    <w:rsid w:val="5D713BC5"/>
    <w:rsid w:val="5D7D0F36"/>
    <w:rsid w:val="5DB61BFF"/>
    <w:rsid w:val="5DEF454B"/>
    <w:rsid w:val="5E5A6C63"/>
    <w:rsid w:val="5F3C6712"/>
    <w:rsid w:val="5F4B58F3"/>
    <w:rsid w:val="6053481F"/>
    <w:rsid w:val="60553A8D"/>
    <w:rsid w:val="606E0DED"/>
    <w:rsid w:val="60AB2000"/>
    <w:rsid w:val="61A27A8B"/>
    <w:rsid w:val="61C97391"/>
    <w:rsid w:val="61D85325"/>
    <w:rsid w:val="62860AAA"/>
    <w:rsid w:val="628B7CEE"/>
    <w:rsid w:val="629D5796"/>
    <w:rsid w:val="63FA4C5C"/>
    <w:rsid w:val="64102A52"/>
    <w:rsid w:val="64BC6713"/>
    <w:rsid w:val="64E9088D"/>
    <w:rsid w:val="66F54088"/>
    <w:rsid w:val="671E2162"/>
    <w:rsid w:val="67C2281F"/>
    <w:rsid w:val="680C1A56"/>
    <w:rsid w:val="68D8721E"/>
    <w:rsid w:val="68E50F6E"/>
    <w:rsid w:val="6A1A3D91"/>
    <w:rsid w:val="6B610D05"/>
    <w:rsid w:val="6BAC21D5"/>
    <w:rsid w:val="6BC50A56"/>
    <w:rsid w:val="6CED1CB3"/>
    <w:rsid w:val="6D3B42C3"/>
    <w:rsid w:val="6D5A3D63"/>
    <w:rsid w:val="6D9A4080"/>
    <w:rsid w:val="6DF037EE"/>
    <w:rsid w:val="6E11772C"/>
    <w:rsid w:val="6E7E575F"/>
    <w:rsid w:val="6EF15941"/>
    <w:rsid w:val="6F546795"/>
    <w:rsid w:val="6F926461"/>
    <w:rsid w:val="6F9921A1"/>
    <w:rsid w:val="720B7A64"/>
    <w:rsid w:val="720F6016"/>
    <w:rsid w:val="727D0EB8"/>
    <w:rsid w:val="73407EBD"/>
    <w:rsid w:val="73932176"/>
    <w:rsid w:val="73BC153D"/>
    <w:rsid w:val="73EF4563"/>
    <w:rsid w:val="74175679"/>
    <w:rsid w:val="744124AA"/>
    <w:rsid w:val="74664F47"/>
    <w:rsid w:val="756E538F"/>
    <w:rsid w:val="758100F6"/>
    <w:rsid w:val="76F41323"/>
    <w:rsid w:val="778222EA"/>
    <w:rsid w:val="77A30DC4"/>
    <w:rsid w:val="77E0572E"/>
    <w:rsid w:val="77ED4104"/>
    <w:rsid w:val="78EF4372"/>
    <w:rsid w:val="79771B00"/>
    <w:rsid w:val="7980282D"/>
    <w:rsid w:val="798F6426"/>
    <w:rsid w:val="79B94653"/>
    <w:rsid w:val="7ACA272A"/>
    <w:rsid w:val="7B0E7C70"/>
    <w:rsid w:val="7B2E004A"/>
    <w:rsid w:val="7B76641B"/>
    <w:rsid w:val="7BBF1397"/>
    <w:rsid w:val="7E6F339A"/>
    <w:rsid w:val="7E7A7C50"/>
    <w:rsid w:val="7E810662"/>
    <w:rsid w:val="7ED67E61"/>
    <w:rsid w:val="7F590A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24"/>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2"/>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3"/>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Balloon Text"/>
    <w:basedOn w:val="1"/>
    <w:link w:val="19"/>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 w:type="paragraph" w:styleId="10">
    <w:name w:val="annotation subject"/>
    <w:basedOn w:val="5"/>
    <w:next w:val="5"/>
    <w:link w:val="21"/>
    <w:uiPriority w:val="0"/>
    <w:rPr>
      <w:b/>
      <w:bCs/>
    </w:rPr>
  </w:style>
  <w:style w:type="table" w:styleId="12">
    <w:name w:val="Table Grid"/>
    <w:basedOn w:val="11"/>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19">
    <w:name w:val="批注框文本 字符"/>
    <w:link w:val="6"/>
    <w:qFormat/>
    <w:uiPriority w:val="0"/>
    <w:rPr>
      <w:rFonts w:ascii="Calibri" w:hAnsi="Calibri" w:cs="黑体"/>
      <w:kern w:val="2"/>
      <w:sz w:val="18"/>
      <w:szCs w:val="18"/>
    </w:rPr>
  </w:style>
  <w:style w:type="character" w:customStyle="1" w:styleId="20">
    <w:name w:val="批注文字 字符"/>
    <w:link w:val="5"/>
    <w:qFormat/>
    <w:uiPriority w:val="0"/>
    <w:rPr>
      <w:rFonts w:ascii="Calibri" w:hAnsi="Calibri" w:cs="黑体"/>
      <w:kern w:val="2"/>
      <w:sz w:val="21"/>
      <w:szCs w:val="24"/>
    </w:rPr>
  </w:style>
  <w:style w:type="character" w:customStyle="1" w:styleId="21">
    <w:name w:val="批注主题 字符"/>
    <w:link w:val="10"/>
    <w:qFormat/>
    <w:uiPriority w:val="0"/>
    <w:rPr>
      <w:rFonts w:ascii="Calibri" w:hAnsi="Calibri" w:cs="黑体"/>
      <w:b/>
      <w:bCs/>
      <w:kern w:val="2"/>
      <w:sz w:val="21"/>
      <w:szCs w:val="24"/>
    </w:rPr>
  </w:style>
  <w:style w:type="character" w:customStyle="1" w:styleId="22">
    <w:name w:val="标题 2 字符"/>
    <w:link w:val="3"/>
    <w:uiPriority w:val="0"/>
    <w:rPr>
      <w:rFonts w:ascii="Arial" w:hAnsi="Arial" w:eastAsia="宋体"/>
      <w:b/>
      <w:sz w:val="24"/>
    </w:rPr>
  </w:style>
  <w:style w:type="character" w:customStyle="1" w:styleId="23">
    <w:name w:val="标题 3 字符"/>
    <w:link w:val="4"/>
    <w:uiPriority w:val="0"/>
    <w:rPr>
      <w:rFonts w:hAnsi="Calibri" w:eastAsia="宋体"/>
      <w:b/>
      <w:sz w:val="24"/>
    </w:rPr>
  </w:style>
  <w:style w:type="character" w:customStyle="1" w:styleId="24">
    <w:name w:val="标题 1 字符"/>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35069</Words>
  <Characters>37035</Characters>
  <Lines>267</Lines>
  <Paragraphs>75</Paragraphs>
  <TotalTime>0</TotalTime>
  <ScaleCrop>false</ScaleCrop>
  <LinksUpToDate>false</LinksUpToDate>
  <CharactersWithSpaces>37261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陈舒虹</dc:creator>
  <cp:lastModifiedBy>hccb</cp:lastModifiedBy>
  <dcterms:modified xsi:type="dcterms:W3CDTF">2025-08-01T08:26:32Z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