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杭银理财幸福99季添益1902期理财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杭银理财幸福99季添益1902期理财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杭银理财幸福99季添益1902期理财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杭银理财幸福99季添益1902期理财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杭银理财幸福99季添益1902期理财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资金流动性风险：本理财计划定期开放申购、赎回，非开放期内投资者不得提前交易。</w:t>
      </w:r>
    </w:p>
    <w:p>
      <w:pPr>
        <w:keepNext w:val="0"/>
        <w:keepLines w:val="0"/>
        <w:widowControl w:val="0"/>
        <w:numPr>
          <w:ilvl w:val="0"/>
          <w:numId w:val="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业绩比较基准并非预测收益，不代表产品的未来表现和实际收益；本理财计划的投资收益与投资者的申购、赎回时点密切相关，收益存在一定的波动性，产品本金出现损失的可能性不容忽视。</w:t>
      </w:r>
    </w:p>
    <w:p>
      <w:pPr>
        <w:keepNext w:val="0"/>
        <w:keepLines w:val="0"/>
        <w:widowControl w:val="0"/>
        <w:numPr>
          <w:ilvl w:val="0"/>
          <w:numId w:val="0"/>
        </w:numPr>
        <w:suppressLineNumbers w:val="0"/>
        <w:spacing w:before="0" w:beforeAutospacing="0" w:after="0" w:afterAutospacing="0" w:line="360" w:lineRule="auto"/>
        <w:ind w:left="0" w:leftChars="0" w:right="0"/>
        <w:jc w:val="both"/>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pStyle w:val="20"/>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杭银理财幸福99季添益1902期理财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Z7002221000273</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ind w:firstLine="482" w:firstLineChars="200"/>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w:t>
      </w:r>
      <w:r>
        <w:rPr>
          <w:rFonts w:hint="eastAsia" w:ascii="宋体" w:hAnsi="宋体" w:cs="宋体"/>
          <w:bCs/>
          <w:sz w:val="24"/>
          <w:highlight w:val="none"/>
          <w:lang w:eastAsia="zh-CN"/>
        </w:rPr>
        <w:t>理财计划</w:t>
      </w:r>
      <w:r>
        <w:rPr>
          <w:rFonts w:hint="eastAsia" w:ascii="宋体" w:hAnsi="宋体" w:cs="宋体"/>
          <w:bCs/>
          <w:sz w:val="24"/>
          <w:highlight w:val="none"/>
        </w:rPr>
        <w:t>风险揭示书》《投资者权益须知》《理财计划投资协议书》</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ind w:firstLine="480" w:firstLineChars="200"/>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numPr>
          <w:ilvl w:val="0"/>
          <w:numId w:val="0"/>
        </w:numPr>
        <w:spacing w:line="360" w:lineRule="auto"/>
        <w:jc w:val="left"/>
        <w:rPr>
          <w:rFonts w:hint="eastAsia" w:ascii="宋体" w:hAnsi="宋体" w:cs="宋体"/>
          <w:bCs/>
          <w:sz w:val="24"/>
          <w:highlight w:val="none"/>
        </w:rPr>
      </w:pPr>
    </w:p>
    <w:p>
      <w:pPr>
        <w:numPr>
          <w:ilvl w:val="0"/>
          <w:numId w:val="11"/>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20"/>
        <w:numPr>
          <w:ilvl w:val="0"/>
          <w:numId w:val="13"/>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产品说明书</w:t>
      </w:r>
      <w:r>
        <w:rPr>
          <w:rFonts w:hint="eastAsia" w:ascii="宋体" w:hAnsi="宋体" w:cs="宋体"/>
          <w:bCs/>
          <w:color w:val="auto"/>
          <w:kern w:val="2"/>
          <w:highlight w:val="none"/>
        </w:rPr>
        <w:t>》《投资者权益须知》《理财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杭银理财幸福99季添益1902期理财</w:t>
      </w:r>
      <w:r>
        <w:rPr>
          <w:rFonts w:hint="eastAsia" w:ascii="宋体" w:hAnsi="宋体" w:cs="宋体"/>
          <w:bCs/>
          <w:highlight w:val="none"/>
        </w:rPr>
        <w:t>。</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5"/>
        </w:numPr>
        <w:adjustRightInd/>
        <w:spacing w:line="360" w:lineRule="auto"/>
        <w:ind w:left="0"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投资周期</w:t>
      </w:r>
      <w:r>
        <w:rPr>
          <w:rFonts w:hint="eastAsia" w:ascii="宋体" w:hAnsi="宋体" w:cs="宋体"/>
          <w:b/>
          <w:color w:val="auto"/>
          <w:kern w:val="2"/>
          <w:highlight w:val="none"/>
          <w:lang w:eastAsia="zh-CN"/>
        </w:rPr>
        <w:t>：</w:t>
      </w:r>
      <w:r>
        <w:rPr>
          <w:rFonts w:hint="eastAsia" w:ascii="宋体" w:hAnsi="宋体" w:cs="宋体"/>
          <w:b w:val="0"/>
          <w:bCs/>
          <w:color w:val="auto"/>
          <w:kern w:val="2"/>
          <w:highlight w:val="none"/>
          <w:lang w:eastAsia="zh-CN"/>
        </w:rPr>
        <w:t>指理财计划成立或申购</w:t>
      </w:r>
      <w:r>
        <w:rPr>
          <w:rFonts w:hint="eastAsia" w:ascii="宋体" w:hAnsi="宋体" w:cs="宋体"/>
          <w:b w:val="0"/>
          <w:bCs/>
          <w:color w:val="auto"/>
          <w:kern w:val="2"/>
          <w:highlight w:val="none"/>
          <w:lang w:val="en-US" w:eastAsia="zh-CN"/>
        </w:rPr>
        <w:t>/赎回</w:t>
      </w:r>
      <w:r>
        <w:rPr>
          <w:rFonts w:hint="eastAsia" w:ascii="宋体" w:hAnsi="宋体" w:cs="宋体"/>
          <w:b w:val="0"/>
          <w:bCs/>
          <w:color w:val="auto"/>
          <w:kern w:val="2"/>
          <w:highlight w:val="none"/>
          <w:lang w:eastAsia="zh-CN"/>
        </w:rPr>
        <w:t>开放期确认后，至下一个申购</w:t>
      </w:r>
      <w:r>
        <w:rPr>
          <w:rFonts w:hint="eastAsia" w:ascii="宋体" w:hAnsi="宋体" w:cs="宋体"/>
          <w:b w:val="0"/>
          <w:bCs/>
          <w:color w:val="auto"/>
          <w:kern w:val="2"/>
          <w:highlight w:val="none"/>
          <w:lang w:val="en-US" w:eastAsia="zh-CN"/>
        </w:rPr>
        <w:t>/赎回开放期确认前的时间。如申购和赎回开放期确认时间不一致，应明确以申购投资周期或赎回投资周期作为理财计划的投资周期。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开放期：</w:t>
      </w:r>
      <w:r>
        <w:rPr>
          <w:rFonts w:hint="eastAsia" w:ascii="宋体" w:hAnsi="宋体" w:cs="宋体"/>
          <w:bCs/>
          <w:highlight w:val="none"/>
        </w:rPr>
        <w:t>指管理人向投资者提供申购</w:t>
      </w:r>
      <w:r>
        <w:rPr>
          <w:rFonts w:hint="eastAsia" w:ascii="宋体" w:hAnsi="宋体" w:cs="宋体"/>
          <w:bCs/>
          <w:highlight w:val="none"/>
          <w:lang w:eastAsia="zh-CN"/>
        </w:rPr>
        <w:t>、</w:t>
      </w:r>
      <w:r>
        <w:rPr>
          <w:rFonts w:hint="eastAsia" w:ascii="宋体" w:hAnsi="宋体" w:cs="宋体"/>
          <w:bCs/>
          <w:highlight w:val="none"/>
          <w:lang w:val="en-US" w:eastAsia="zh-CN"/>
        </w:rPr>
        <w:t>赎回</w:t>
      </w:r>
      <w:r>
        <w:rPr>
          <w:rFonts w:hint="eastAsia" w:ascii="宋体" w:hAnsi="宋体" w:cs="宋体"/>
          <w:bCs/>
          <w:highlight w:val="none"/>
        </w:rPr>
        <w:t>交易的时间。</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w:t>
      </w:r>
      <w:r>
        <w:rPr>
          <w:rFonts w:hint="eastAsia" w:ascii="宋体" w:hAnsi="宋体" w:cs="宋体"/>
          <w:bCs/>
          <w:color w:val="auto"/>
          <w:kern w:val="2"/>
          <w:highlight w:val="none"/>
          <w:lang w:eastAsia="zh-CN"/>
        </w:rPr>
        <w:t>、</w:t>
      </w:r>
      <w:r>
        <w:rPr>
          <w:rFonts w:hint="eastAsia" w:ascii="宋体" w:hAnsi="宋体" w:cs="宋体"/>
          <w:bCs/>
          <w:color w:val="auto"/>
          <w:kern w:val="2"/>
          <w:highlight w:val="none"/>
          <w:lang w:val="en-US" w:eastAsia="zh-CN"/>
        </w:rPr>
        <w:t>赎回</w:t>
      </w:r>
      <w:r>
        <w:rPr>
          <w:rFonts w:hint="eastAsia" w:ascii="宋体" w:hAnsi="宋体" w:cs="宋体"/>
          <w:bCs/>
          <w:color w:val="auto"/>
          <w:kern w:val="2"/>
          <w:highlight w:val="none"/>
        </w:rPr>
        <w:t>交易是否有效的日期。</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w:t>
      </w:r>
      <w:r>
        <w:rPr>
          <w:rFonts w:hint="eastAsia" w:ascii="宋体" w:hAnsi="宋体" w:cs="宋体"/>
          <w:bCs/>
          <w:color w:val="auto"/>
          <w:kern w:val="2"/>
          <w:highlight w:val="none"/>
          <w:lang w:eastAsia="zh-CN"/>
        </w:rPr>
        <w:t>赎回</w:t>
      </w:r>
      <w:r>
        <w:rPr>
          <w:rFonts w:hint="eastAsia" w:ascii="宋体" w:hAnsi="宋体" w:cs="宋体"/>
          <w:bCs/>
          <w:color w:val="auto"/>
          <w:kern w:val="2"/>
          <w:highlight w:val="none"/>
        </w:rPr>
        <w:t>开放期内，投资者向管理人进行理财计划份额卖出的行为。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流</w:t>
      </w:r>
      <w:r>
        <w:rPr>
          <w:rFonts w:hint="eastAsia"/>
          <w:b/>
          <w:bCs w:val="0"/>
          <w:highlight w:val="none"/>
          <w:lang w:val="en-US" w:eastAsia="zh-CN"/>
        </w:rPr>
        <w:t>动性受限资产：</w:t>
      </w:r>
      <w:r>
        <w:rPr>
          <w:rFonts w:hint="eastAsia"/>
          <w:highlight w:val="none"/>
          <w:lang w:val="en-US" w:eastAsia="zh-CN"/>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7个工作日可变现资产：</w:t>
      </w:r>
      <w:r>
        <w:rPr>
          <w:rFonts w:hint="eastAsia"/>
          <w:highlight w:val="none"/>
          <w:lang w:val="en-US" w:eastAsia="zh-CN"/>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5"/>
        </w:numPr>
        <w:adjustRightInd/>
        <w:spacing w:line="360" w:lineRule="auto"/>
        <w:ind w:firstLine="482" w:firstLineChars="200"/>
        <w:rPr>
          <w:rFonts w:hint="eastAsia" w:ascii="宋体" w:hAnsi="宋体" w:cs="宋体"/>
          <w:b/>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20"/>
        <w:numPr>
          <w:ilvl w:val="0"/>
          <w:numId w:val="12"/>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6"/>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numPr>
          <w:ilvl w:val="0"/>
          <w:numId w:val="0"/>
        </w:numPr>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20"/>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杭银理财幸福99季添益1902期理财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季添益1902期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TYG3M1902</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Z7002221000273</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 w:val="21"/>
                <w:szCs w:val="21"/>
                <w:highlight w:val="none"/>
              </w:rPr>
              <w:t>。</w:t>
            </w:r>
            <w:r>
              <w:rPr>
                <w:rFonts w:hint="eastAsia" w:ascii="宋体" w:hAnsi="宋体" w:cs="宋体"/>
                <w:bCs/>
                <w:color w:val="auto"/>
                <w:kern w:val="2"/>
                <w:sz w:val="21"/>
                <w:szCs w:val="21"/>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A份额（销售代码〖TYG3M1902〗）：普通个人投资者和机构客户。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B份额（销售代码〖TYG3M1902B〗）：高净值等特邀客户专属。</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C份额（销售代码〖TYG3M1902C〗）：特定客群专属。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 w:val="21"/>
                <w:szCs w:val="21"/>
                <w:highlight w:val="none"/>
              </w:rPr>
              <w:t>〗</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可通过</w:t>
            </w:r>
            <w:r>
              <w:rPr>
                <w:rFonts w:hint="eastAsia" w:ascii="宋体" w:hAnsi="宋体" w:cs="宋体"/>
                <w:color w:val="000000"/>
                <w:sz w:val="21"/>
                <w:szCs w:val="21"/>
                <w:highlight w:val="none"/>
                <w:lang w:eastAsia="zh-CN"/>
              </w:rPr>
              <w:t>杭银理财直销渠道和代理</w:t>
            </w:r>
            <w:r>
              <w:rPr>
                <w:rFonts w:hint="eastAsia" w:ascii="宋体" w:hAnsi="宋体" w:cs="宋体"/>
                <w:color w:val="000000"/>
                <w:sz w:val="21"/>
                <w:szCs w:val="21"/>
                <w:highlight w:val="none"/>
              </w:rPr>
              <w:t>销售机构的〖营业网点、网上银行、手机银行〗等渠道购买</w:t>
            </w:r>
            <w:r>
              <w:rPr>
                <w:rFonts w:hint="eastAsia" w:ascii="宋体" w:hAnsi="宋体" w:cs="宋体"/>
                <w:color w:val="000000"/>
                <w:sz w:val="21"/>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29</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无固定期限</w:t>
            </w:r>
            <w:r>
              <w:rPr>
                <w:rFonts w:hint="eastAsia" w:ascii="宋体" w:hAnsi="宋体" w:cs="宋体"/>
                <w:color w:val="000000"/>
                <w:sz w:val="21"/>
                <w:szCs w:val="21"/>
                <w:highlight w:val="none"/>
              </w:rPr>
              <w:t>（实际理财期限受制于管理人提前终止权等条款）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〖A份额〗起点〖1〗元整，超过认购/申购起点部分，应为〖1〗元的整数倍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〖B份额〗起点〖20〗万元整，超过认购/申购起点部分，应为〖1〗元的整数倍</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〖C份额〗起点〖1〗元整，超过认购/申购起点部分，应为〖1〗元的整数倍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〖2〗千万元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开放期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理财计划</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每季</w:t>
            </w:r>
            <w:r>
              <w:rPr>
                <w:rFonts w:hint="eastAsia" w:ascii="宋体" w:hAnsi="宋体" w:cs="宋体"/>
                <w:sz w:val="21"/>
                <w:szCs w:val="21"/>
                <w:highlight w:val="none"/>
              </w:rPr>
              <w:t>〗</w:t>
            </w:r>
            <w:r>
              <w:rPr>
                <w:rFonts w:hint="eastAsia" w:ascii="宋体" w:hAnsi="宋体" w:cs="宋体"/>
                <w:sz w:val="21"/>
                <w:szCs w:val="21"/>
                <w:highlight w:val="none"/>
                <w:lang w:val="en-US" w:eastAsia="zh-CN"/>
              </w:rPr>
              <w:t>开放一次，</w:t>
            </w:r>
            <w:r>
              <w:rPr>
                <w:rFonts w:hint="eastAsia" w:ascii="宋体" w:hAnsi="宋体" w:cs="宋体"/>
                <w:sz w:val="21"/>
                <w:szCs w:val="21"/>
                <w:highlight w:val="none"/>
              </w:rPr>
              <w:t>具体开放期将以管理人公告为准。</w:t>
            </w:r>
            <w:r>
              <w:rPr>
                <w:rFonts w:hint="eastAsia" w:ascii="宋体" w:hAnsi="宋体" w:cs="宋体"/>
                <w:sz w:val="21"/>
                <w:szCs w:val="21"/>
                <w:highlight w:val="none"/>
                <w:lang w:val="en-US" w:eastAsia="zh-CN"/>
              </w:rPr>
              <w:t>首个开放期为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29</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至</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首个开放确认日为</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2019</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如遇开放确认日为非工作日，则顺延至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1.本理财计划在每个开放期的开放日工作时间均可进行申购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，申购</w:t>
            </w:r>
            <w:r>
              <w:rPr>
                <w:rFonts w:hint="eastAsia" w:ascii="宋体" w:hAnsi="宋体" w:cs="宋体"/>
                <w:color w:val="000000"/>
                <w:sz w:val="21"/>
                <w:szCs w:val="21"/>
                <w:highlight w:val="none"/>
                <w:lang w:val="en-US" w:eastAsia="zh-CN"/>
              </w:rPr>
              <w:t>和赎回</w:t>
            </w:r>
            <w:r>
              <w:rPr>
                <w:rFonts w:hint="eastAsia" w:ascii="宋体" w:hAnsi="宋体" w:cs="宋体"/>
                <w:color w:val="000000"/>
                <w:sz w:val="21"/>
                <w:szCs w:val="21"/>
                <w:highlight w:val="none"/>
              </w:rPr>
              <w:t>申请将在确认日，即开放期后的第〖1〗个〖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r>
              <w:rPr>
                <w:rFonts w:hint="eastAsia" w:ascii="宋体" w:hAnsi="宋体" w:cs="宋体"/>
                <w:bCs/>
                <w:color w:val="000000"/>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〗，则顺延至〖下一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上午〖9:00〗至下午〖17:00〗。确认日如遇非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3.认购/开放期内提交的交易申请，在理财计划成立日/确认日前一日下午</w:t>
            </w:r>
            <w:r>
              <w:rPr>
                <w:rFonts w:hint="eastAsia" w:ascii="宋体" w:hAnsi="宋体" w:cs="宋体"/>
                <w:color w:val="000000"/>
                <w:sz w:val="21"/>
                <w:szCs w:val="21"/>
                <w:highlight w:val="none"/>
              </w:rPr>
              <w:t>〖17:00〗</w:t>
            </w:r>
            <w:r>
              <w:rPr>
                <w:rFonts w:hint="eastAsia" w:ascii="宋体" w:hAnsi="宋体" w:cs="宋体"/>
                <w:color w:val="000000"/>
                <w:kern w:val="0"/>
                <w:sz w:val="21"/>
                <w:szCs w:val="21"/>
                <w:highlight w:val="none"/>
                <w:lang w:val="en-US" w:eastAsia="zh-CN"/>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4.上述交易安排如有调整，请以管理人公告为准。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5.如投资者在一个投资周期开放期内未提出赎回申请，则该投资周期终止后，投资者的理财资金继续进入下一个投资周期进行理财运作。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cs="宋体"/>
                <w:color w:val="000000"/>
                <w:sz w:val="21"/>
                <w:szCs w:val="21"/>
                <w:highlight w:val="none"/>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rPr>
            </w:pPr>
            <w:r>
              <w:rPr>
                <w:rFonts w:hint="eastAsia" w:ascii="宋体" w:hAnsi="宋体" w:cs="宋体"/>
                <w:color w:val="000000"/>
                <w:sz w:val="21"/>
                <w:szCs w:val="21"/>
                <w:highlight w:val="none"/>
                <w:lang w:val="en-US" w:eastAsia="zh-CN"/>
              </w:rPr>
              <w:t>1.单户持有份额</w:t>
            </w:r>
            <w:r>
              <w:rPr>
                <w:rFonts w:hint="eastAsia" w:ascii="宋体" w:hAnsi="宋体" w:cs="宋体"/>
                <w:color w:val="000000"/>
                <w:sz w:val="21"/>
                <w:szCs w:val="21"/>
                <w:highlight w:val="none"/>
              </w:rPr>
              <w:t>〖</w:t>
            </w:r>
            <w:r>
              <w:rPr>
                <w:rFonts w:hint="eastAsia"/>
                <w:color w:val="000000"/>
                <w:lang w:eastAsia="zh"/>
              </w:rPr>
              <w:t>b</w:t>
            </w:r>
            <w:r>
              <w:rPr>
                <w:rFonts w:hint="eastAsia" w:ascii="宋体" w:hAnsi="宋体" w:cs="宋体"/>
                <w:color w:val="000000"/>
                <w:sz w:val="21"/>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a.可以超过理财计划总份额的50%，但理财计划不得向个人投资者公开销售。</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b.不得超过理财计划总份额的50%。</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 w:bidi="ar-SA"/>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kern w:val="2"/>
                <w:sz w:val="21"/>
                <w:szCs w:val="21"/>
                <w:highlight w:val="none"/>
                <w:lang w:val="en-US" w:eastAsia="zh-CN" w:bidi="ar-SA"/>
              </w:rPr>
              <w:t>〖A份额〗单户持有上限为〖1〗亿元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〖B份额〗单户持有上限为〖1〗亿元</w:t>
            </w:r>
            <w:r>
              <w:rPr>
                <w:rFonts w:hint="eastAsia" w:ascii="宋体" w:hAnsi="宋体" w:eastAsia="宋体" w:cs="宋体"/>
                <w:color w:val="000000"/>
                <w:kern w:val="2"/>
                <w:sz w:val="21"/>
                <w:szCs w:val="21"/>
                <w:highlight w:val="none"/>
                <w:lang w:val="en-US" w:eastAsia="zh-CN" w:bidi="ar-SA"/>
              </w:rPr>
              <w:br w:type="textWrapping"/>
            </w:r>
            <w:r>
              <w:rPr>
                <w:rFonts w:hint="eastAsia" w:ascii="宋体" w:hAnsi="宋体" w:eastAsia="宋体" w:cs="宋体"/>
                <w:color w:val="000000"/>
                <w:kern w:val="2"/>
                <w:sz w:val="21"/>
                <w:szCs w:val="21"/>
                <w:highlight w:val="none"/>
                <w:lang w:val="en-US" w:eastAsia="zh-CN" w:bidi="ar-SA"/>
              </w:rPr>
              <w:t>〖C份额〗单户持有上限为〖1〗亿元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bCs/>
                <w:sz w:val="21"/>
                <w:szCs w:val="21"/>
                <w:highlight w:val="none"/>
              </w:rPr>
              <w:t>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回份额×确认日</w:t>
            </w:r>
            <w:r>
              <w:rPr>
                <w:rFonts w:hint="eastAsia" w:ascii="宋体" w:hAnsi="宋体" w:cs="宋体"/>
                <w:bCs/>
                <w:sz w:val="21"/>
                <w:szCs w:val="21"/>
                <w:highlight w:val="none"/>
                <w:lang w:eastAsia="zh-CN"/>
              </w:rPr>
              <w:t>前一</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的单位净值。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 w:val="21"/>
                <w:szCs w:val="21"/>
                <w:highlight w:val="none"/>
                <w:lang w:eastAsia="zh"/>
              </w:rPr>
            </w:pPr>
            <w:r>
              <w:rPr>
                <w:rFonts w:hint="eastAsia" w:ascii="宋体" w:hAnsi="宋体" w:cs="宋体"/>
                <w:color w:val="000000"/>
                <w:sz w:val="21"/>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理财计划总份额，单位净值</w:t>
            </w:r>
            <w:r>
              <w:rPr>
                <w:rFonts w:hint="eastAsia" w:ascii="宋体" w:hAnsi="宋体" w:cs="宋体"/>
                <w:sz w:val="21"/>
                <w:szCs w:val="21"/>
                <w:highlight w:val="none"/>
              </w:rPr>
              <w:t>〖</w:t>
            </w:r>
            <w:r>
              <w:rPr>
                <w:rFonts w:hint="eastAsia" w:ascii="宋体" w:hAnsi="宋体" w:cs="宋体"/>
                <w:color w:val="000000"/>
                <w:sz w:val="21"/>
                <w:szCs w:val="21"/>
                <w:highlight w:val="none"/>
              </w:rPr>
              <w:t>保留小数点后四位</w:t>
            </w:r>
            <w:r>
              <w:rPr>
                <w:rFonts w:hint="eastAsia" w:ascii="宋体" w:hAnsi="宋体" w:cs="宋体"/>
                <w:sz w:val="21"/>
                <w:szCs w:val="21"/>
                <w:highlight w:val="none"/>
              </w:rPr>
              <w:t>〗</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四位后去尾</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理财计划总净值=理财计划认购总额+理财计划所获总收益-理财计划总费用（包括但不限于</w:t>
            </w:r>
            <w:r>
              <w:rPr>
                <w:rFonts w:hint="eastAsia" w:ascii="宋体" w:hAnsi="宋体" w:cs="宋体"/>
                <w:color w:val="000000"/>
                <w:sz w:val="21"/>
                <w:szCs w:val="21"/>
                <w:highlight w:val="none"/>
                <w:lang w:val="en-US" w:eastAsia="zh-CN"/>
              </w:rPr>
              <w:t>固定</w:t>
            </w:r>
            <w:r>
              <w:rPr>
                <w:rFonts w:hint="eastAsia" w:ascii="宋体" w:hAnsi="宋体" w:cs="宋体"/>
                <w:color w:val="000000"/>
                <w:sz w:val="21"/>
                <w:szCs w:val="21"/>
                <w:highlight w:val="none"/>
              </w:rPr>
              <w:t>管理费、托管费、</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lang w:val="en-US" w:eastAsia="zh-CN"/>
              </w:rPr>
              <w:t>浮动管理费（如有）</w:t>
            </w:r>
            <w:r>
              <w:rPr>
                <w:rFonts w:hint="eastAsia" w:ascii="宋体" w:hAnsi="宋体" w:cs="宋体"/>
                <w:color w:val="000000"/>
                <w:sz w:val="2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1.赎回资金确认后，最快</w:t>
            </w:r>
            <w:r>
              <w:rPr>
                <w:rFonts w:hint="eastAsia" w:ascii="宋体" w:hAnsi="宋体" w:eastAsia="宋体" w:cs="宋体"/>
                <w:color w:val="000000"/>
                <w:kern w:val="2"/>
                <w:sz w:val="21"/>
                <w:szCs w:val="21"/>
                <w:highlight w:val="none"/>
                <w:lang w:val="en-US" w:eastAsia="zh-CN" w:bidi="ar-SA"/>
              </w:rPr>
              <w:t>〖确认日当日〗</w:t>
            </w:r>
            <w:r>
              <w:rPr>
                <w:rFonts w:hint="eastAsia" w:ascii="宋体" w:hAnsi="宋体" w:cs="宋体"/>
                <w:color w:val="000000"/>
                <w:sz w:val="21"/>
                <w:szCs w:val="21"/>
                <w:highlight w:val="none"/>
              </w:rPr>
              <w:t>，最晚</w:t>
            </w:r>
            <w:r>
              <w:rPr>
                <w:rFonts w:hint="eastAsia" w:ascii="宋体" w:hAnsi="宋体" w:eastAsia="宋体" w:cs="宋体"/>
                <w:color w:val="000000"/>
                <w:kern w:val="2"/>
                <w:sz w:val="21"/>
                <w:szCs w:val="21"/>
                <w:highlight w:val="none"/>
                <w:lang w:val="en-US" w:eastAsia="zh-CN" w:bidi="ar-SA"/>
              </w:rPr>
              <w:t>确认日后〖2〗个〖工作日〗内</w:t>
            </w:r>
            <w:r>
              <w:rPr>
                <w:rFonts w:hint="eastAsia" w:ascii="宋体" w:hAnsi="宋体" w:cs="宋体"/>
                <w:color w:val="000000"/>
                <w:sz w:val="21"/>
                <w:szCs w:val="21"/>
                <w:highlight w:val="none"/>
              </w:rPr>
              <w:t>（遇节假日顺延）支付。如遇资金在途或法定工作日调整，实际资金到账日以公告为准。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 w:val="21"/>
                <w:szCs w:val="21"/>
                <w:highlight w:val="none"/>
              </w:rPr>
            </w:pPr>
            <w:r>
              <w:rPr>
                <w:rFonts w:hint="eastAsia" w:ascii="宋体" w:hAnsi="宋体" w:cs="宋体"/>
                <w:color w:val="000000"/>
                <w:sz w:val="21"/>
                <w:szCs w:val="21"/>
                <w:highlight w:val="none"/>
              </w:rPr>
              <w:t>2.理财计划到期</w:t>
            </w:r>
            <w:r>
              <w:rPr>
                <w:rFonts w:hint="eastAsia" w:ascii="宋体" w:hAnsi="宋体" w:cs="宋体"/>
                <w:color w:val="000000"/>
                <w:sz w:val="21"/>
                <w:szCs w:val="21"/>
                <w:highlight w:val="none"/>
                <w:lang w:eastAsia="zh-CN"/>
              </w:rPr>
              <w:t>确认</w:t>
            </w:r>
            <w:r>
              <w:rPr>
                <w:rFonts w:hint="eastAsia" w:ascii="宋体" w:hAnsi="宋体" w:cs="宋体"/>
                <w:color w:val="000000"/>
                <w:sz w:val="21"/>
                <w:szCs w:val="21"/>
                <w:highlight w:val="none"/>
              </w:rPr>
              <w:t>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 w:val="21"/>
                <w:szCs w:val="21"/>
                <w:highlight w:val="none"/>
              </w:rPr>
              <w:t>内（遇节假日顺延）支付。如遇资金在途或法定工作日调整，实际资金到账日以公告为准。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 w:val="21"/>
                <w:szCs w:val="21"/>
                <w:highlight w:val="none"/>
              </w:rPr>
            </w:pPr>
            <w:r>
              <w:rPr>
                <w:rFonts w:hint="eastAsia" w:ascii="宋体" w:hAnsi="宋体" w:cs="宋体"/>
                <w:color w:val="000000"/>
                <w:sz w:val="21"/>
                <w:szCs w:val="21"/>
                <w:highlight w:val="none"/>
              </w:rPr>
              <w:t>在满足收益分配基准日理财计划份额净值大于1元的情况下，管理人将</w:t>
            </w:r>
            <w:r>
              <w:rPr>
                <w:rFonts w:hint="eastAsia" w:ascii="宋体" w:hAnsi="宋体" w:cs="宋体"/>
                <w:sz w:val="21"/>
                <w:szCs w:val="21"/>
                <w:highlight w:val="none"/>
              </w:rPr>
              <w:t>〖</w:t>
            </w:r>
            <w:r>
              <w:rPr>
                <w:rFonts w:hint="eastAsia" w:ascii="宋体" w:hAnsi="宋体" w:cs="宋体"/>
                <w:color w:val="000000"/>
                <w:sz w:val="21"/>
                <w:szCs w:val="21"/>
                <w:highlight w:val="none"/>
                <w:lang w:eastAsia="zh"/>
              </w:rPr>
              <w:t>不</w:t>
            </w:r>
            <w:r>
              <w:rPr>
                <w:rFonts w:hint="eastAsia" w:ascii="宋体" w:hAnsi="宋体" w:cs="宋体"/>
                <w:color w:val="000000"/>
                <w:sz w:val="21"/>
                <w:szCs w:val="21"/>
                <w:highlight w:val="none"/>
              </w:rPr>
              <w:t>定期</w:t>
            </w:r>
            <w:r>
              <w:rPr>
                <w:rFonts w:hint="eastAsia" w:ascii="宋体" w:hAnsi="宋体" w:cs="宋体"/>
                <w:sz w:val="21"/>
                <w:szCs w:val="21"/>
                <w:highlight w:val="none"/>
              </w:rPr>
              <w:t>〗</w:t>
            </w:r>
            <w:r>
              <w:rPr>
                <w:rFonts w:hint="eastAsia" w:ascii="宋体" w:hAnsi="宋体" w:cs="宋体"/>
                <w:color w:val="000000"/>
                <w:sz w:val="21"/>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本理财计划〖A份额〗业绩比较基准为〖中国人民银行公布的1年期定期存款利率〗（年化）。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本理财计划〖B份额〗业绩比较基准为〖中国人民银行公布的1年期定期存款利率〗（年化）。</w:t>
            </w:r>
            <w:r>
              <w:rPr>
                <w:rFonts w:hint="default" w:ascii="宋体" w:hAnsi="宋体" w:eastAsia="宋体" w:cs="宋体"/>
                <w:b/>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i w:val="0"/>
                <w:caps w:val="0"/>
                <w:strike w:val="0"/>
                <w:dstrike w:val="0"/>
                <w:shadow w:val="0"/>
                <w:emboss w:val="0"/>
                <w:imprint w:val="0"/>
                <w:color w:val="auto"/>
                <w:kern w:val="2"/>
                <w:position w:val="-1"/>
                <w:sz w:val="21"/>
                <w:u w:val="none"/>
                <w:vertAlign w:val="baseline"/>
              </w:rPr>
              <w:t>本理财计划〖C份额〗业绩比较基准为〖中国人民银行公布的1年期定期存款利率〗（年化）。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FF0000"/>
                <w:sz w:val="21"/>
                <w:szCs w:val="21"/>
                <w:highlight w:val="none"/>
              </w:rPr>
            </w:pPr>
            <w:r>
              <w:rPr>
                <w:rFonts w:hint="eastAsia" w:ascii="宋体" w:hAnsi="宋体" w:cs="宋体"/>
                <w:b/>
                <w:bCs/>
                <w:color w:val="000000"/>
                <w:sz w:val="21"/>
                <w:szCs w:val="21"/>
                <w:highlight w:val="none"/>
              </w:rPr>
              <w:t>业绩基准测算依据：</w:t>
            </w:r>
            <w:r>
              <w:rPr>
                <w:rFonts w:hint="eastAsia" w:ascii="宋体" w:hAnsi="宋体" w:eastAsia="宋体" w:cs="宋体"/>
                <w:b/>
                <w:bCs/>
                <w:kern w:val="2"/>
                <w:sz w:val="21"/>
                <w:szCs w:val="21"/>
                <w:lang w:val="en-US" w:eastAsia="zh-CN" w:bidi="ar"/>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r>
              <w:rPr>
                <w:rFonts w:hint="eastAsia" w:ascii="宋体" w:hAnsi="宋体" w:cs="宋体"/>
                <w:b/>
                <w:bCs/>
                <w:color w:val="000000"/>
                <w:sz w:val="21"/>
                <w:szCs w:val="21"/>
                <w:highlight w:val="none"/>
              </w:rPr>
              <w:t>。</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 w:val="21"/>
                <w:szCs w:val="21"/>
                <w:highlight w:val="none"/>
              </w:rPr>
            </w:pPr>
            <w:r>
              <w:rPr>
                <w:rFonts w:hint="eastAsia" w:ascii="宋体" w:hAnsi="宋体" w:cs="宋体"/>
                <w:sz w:val="21"/>
                <w:szCs w:val="21"/>
                <w:highlight w:val="none"/>
              </w:rPr>
              <w:t>管理人有权根据市场情况及</w:t>
            </w:r>
            <w:r>
              <w:rPr>
                <w:rFonts w:hint="eastAsia" w:ascii="宋体" w:hAnsi="宋体" w:cs="宋体"/>
                <w:sz w:val="21"/>
                <w:szCs w:val="21"/>
                <w:highlight w:val="none"/>
                <w:lang w:eastAsia="zh-CN"/>
              </w:rPr>
              <w:t>理财计划</w:t>
            </w:r>
            <w:r>
              <w:rPr>
                <w:rFonts w:hint="eastAsia" w:ascii="宋体" w:hAnsi="宋体" w:cs="宋体"/>
                <w:sz w:val="21"/>
                <w:szCs w:val="21"/>
                <w:highlight w:val="none"/>
              </w:rPr>
              <w:t>运作情况调整业绩基准，并至少于新业绩基准启用前</w:t>
            </w:r>
            <w:r>
              <w:rPr>
                <w:rFonts w:hint="eastAsia" w:ascii="宋体" w:hAnsi="宋体" w:cs="宋体"/>
                <w:kern w:val="0"/>
                <w:sz w:val="21"/>
                <w:szCs w:val="21"/>
                <w:highlight w:val="none"/>
              </w:rPr>
              <w:t>〖</w:t>
            </w:r>
            <w:r>
              <w:rPr>
                <w:rFonts w:hint="eastAsia" w:ascii="宋体" w:hAnsi="宋体" w:cs="宋体"/>
                <w:color w:val="000000"/>
                <w:kern w:val="0"/>
                <w:sz w:val="21"/>
                <w:szCs w:val="21"/>
                <w:highlight w:val="none"/>
                <w:lang w:val="en-US" w:eastAsia="zh-CN"/>
              </w:rPr>
              <w:t>2</w:t>
            </w:r>
            <w:r>
              <w:rPr>
                <w:rFonts w:hint="eastAsia" w:ascii="宋体" w:hAnsi="宋体" w:cs="宋体"/>
                <w:kern w:val="0"/>
                <w:sz w:val="21"/>
                <w:szCs w:val="21"/>
                <w:highlight w:val="none"/>
              </w:rPr>
              <w:t>〗</w:t>
            </w:r>
            <w:r>
              <w:rPr>
                <w:rFonts w:hint="eastAsia" w:ascii="宋体" w:hAnsi="宋体" w:cs="宋体"/>
                <w:sz w:val="21"/>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
                <w:sz w:val="21"/>
                <w:szCs w:val="21"/>
                <w:highlight w:val="none"/>
              </w:rPr>
              <w:t>本理财计划为净值型理财产品，其业绩表现将随市场波动具有不确定性。本公司提醒投资者关注，业绩比较基准</w:t>
            </w:r>
            <w:r>
              <w:rPr>
                <w:rFonts w:hint="eastAsia" w:ascii="宋体" w:hAnsi="宋体" w:cs="宋体"/>
                <w:b/>
                <w:sz w:val="21"/>
                <w:szCs w:val="21"/>
                <w:highlight w:val="none"/>
                <w:lang w:eastAsia="zh-CN"/>
              </w:rPr>
              <w:t>不是预期收益率，</w:t>
            </w:r>
            <w:r>
              <w:rPr>
                <w:rFonts w:hint="eastAsia" w:ascii="宋体" w:hAnsi="宋体" w:cs="宋体"/>
                <w:b/>
                <w:sz w:val="21"/>
                <w:szCs w:val="21"/>
                <w:highlight w:val="none"/>
              </w:rPr>
              <w:t>并不代表</w:t>
            </w:r>
            <w:r>
              <w:rPr>
                <w:rFonts w:hint="eastAsia" w:ascii="宋体" w:hAnsi="宋体" w:cs="宋体"/>
                <w:b/>
                <w:sz w:val="21"/>
                <w:szCs w:val="21"/>
                <w:highlight w:val="none"/>
                <w:lang w:eastAsia="zh-CN"/>
              </w:rPr>
              <w:t>理财计划的未来表现和</w:t>
            </w:r>
            <w:r>
              <w:rPr>
                <w:rFonts w:hint="eastAsia" w:ascii="宋体" w:hAnsi="宋体" w:cs="宋体"/>
                <w:b/>
                <w:sz w:val="21"/>
                <w:szCs w:val="21"/>
                <w:highlight w:val="none"/>
              </w:rPr>
              <w:t>实际收益率</w:t>
            </w:r>
            <w:r>
              <w:rPr>
                <w:rFonts w:hint="eastAsia" w:ascii="宋体" w:hAnsi="宋体" w:cs="宋体"/>
                <w:b/>
                <w:sz w:val="21"/>
                <w:szCs w:val="21"/>
                <w:highlight w:val="none"/>
                <w:lang w:eastAsia="zh-CN"/>
              </w:rPr>
              <w:t>，不构成对理财计划收益的承诺</w:t>
            </w:r>
            <w:r>
              <w:rPr>
                <w:rFonts w:hint="eastAsia" w:ascii="宋体" w:hAnsi="宋体" w:cs="宋体"/>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CN"/>
              </w:rPr>
              <w:t>销售服务费</w:t>
            </w: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〖B份额〗收取年化〖0.25%〗的销售服务费, 〖C份额〗收取年化〖0.20%〗的销售服务费。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lang w:eastAsia="zh"/>
              </w:rPr>
              <w:t>%</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A份额〗投资周期的折合年化收益率超过〖2.25%〗的部分，管理人提取〖50%〗作为浮动管理费；〖B份额〗投资周期的折合年化收益率超过〖2.3%〗的部分，管理人提取〖50%〗作为浮动管理费；〖C份额〗投资周期的折合年化收益率超过〖2.35%〗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w:t>
            </w:r>
            <w:r>
              <w:rPr>
                <w:rFonts w:hint="eastAsia" w:ascii="宋体" w:hAnsi="宋体" w:cs="宋体"/>
                <w:b/>
                <w:color w:val="000000"/>
                <w:kern w:val="0"/>
                <w:sz w:val="21"/>
                <w:szCs w:val="21"/>
                <w:highlight w:val="none"/>
                <w:lang w:eastAsia="zh-CN"/>
              </w:rPr>
              <w:t>全部或部分</w:t>
            </w:r>
            <w:r>
              <w:rPr>
                <w:rFonts w:hint="eastAsia" w:ascii="宋体" w:hAnsi="宋体" w:cs="宋体"/>
                <w:b/>
                <w:color w:val="000000"/>
                <w:kern w:val="0"/>
                <w:sz w:val="21"/>
                <w:szCs w:val="21"/>
                <w:highlight w:val="none"/>
              </w:rPr>
              <w:t>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投资者在理财期限内不能提前</w:t>
            </w:r>
            <w:r>
              <w:rPr>
                <w:rFonts w:hint="eastAsia" w:ascii="宋体" w:hAnsi="宋体" w:cs="宋体"/>
                <w:b/>
                <w:color w:val="000000"/>
                <w:kern w:val="0"/>
                <w:sz w:val="21"/>
                <w:szCs w:val="21"/>
                <w:highlight w:val="none"/>
                <w:lang w:eastAsia="zh-CN"/>
              </w:rPr>
              <w:t>赎回</w:t>
            </w: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ind w:firstLine="482" w:firstLineChars="200"/>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auto"/>
          <w:kern w:val="2"/>
          <w:position w:val="-1"/>
          <w:sz w:val="24"/>
          <w:u w:val="none"/>
          <w:vertAlign w:val="baseline"/>
        </w:rPr>
        <w:t>1. 固定收益类资产：包括但不限于各类债券、存款、货币市场金融工具、债券基金、质押式及买断式回购，其他符合监管要求的固定收益类资产及资产管理产品。</w:t>
      </w:r>
      <w:r>
        <w:rPr>
          <w:rFonts w:ascii="宋体" w:hAnsi="宋体" w:eastAsia="宋体" w:cs="宋体"/>
          <w:b w:val="0"/>
          <w:i w:val="0"/>
          <w:caps w:val="0"/>
          <w:strike w:val="0"/>
          <w:dstrike w:val="0"/>
          <w:shadow w:val="0"/>
          <w:emboss w:val="0"/>
          <w:imprint w:val="0"/>
          <w:color w:val="auto"/>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auto"/>
          <w:kern w:val="2"/>
          <w:position w:val="-1"/>
          <w:sz w:val="24"/>
          <w:u w:val="none"/>
          <w:vertAlign w:val="baseline"/>
        </w:rPr>
        <w:t xml:space="preserve">    2. 权益类资产：包括国内发行上市优先股、上市公司股票、定向增发、员工持股计划、以及其他符合监管要求的权益类资产及资产管理产品（不包括未上市企业股权）。</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restart"/>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Merge w:val="continue"/>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权益类资产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0%-20%</w:t>
            </w:r>
          </w:p>
        </w:tc>
      </w:tr>
    </w:tbl>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本理财计划特殊资产类型为基于大类资产类型项下的进一步细化分类，其配置比例不得超过大类资产配置比例。</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在</w:t>
      </w:r>
      <w:r>
        <w:rPr>
          <w:rFonts w:hint="eastAsia" w:ascii="宋体" w:hAnsi="宋体" w:cs="宋体"/>
          <w:bCs/>
          <w:color w:val="auto"/>
          <w:kern w:val="2"/>
          <w:highlight w:val="none"/>
        </w:rPr>
        <w:t>理财计划存续期间如遇市场变化导致各类投资品投资比例暂时超出以上范围，为保护投资者利益，管理人将在流动性受限资产可出售、可转让或者恢复交易的15个交易日内调整至上述比例范围。</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20"/>
        <w:numPr>
          <w:ilvl w:val="0"/>
          <w:numId w:val="21"/>
        </w:numPr>
        <w:adjustRightInd/>
        <w:spacing w:line="360" w:lineRule="auto"/>
        <w:ind w:firstLine="456" w:firstLineChars="190"/>
        <w:rPr>
          <w:rFonts w:hint="eastAsia" w:ascii="宋体" w:hAnsi="宋体" w:cs="宋体"/>
          <w:bCs/>
          <w:color w:val="auto"/>
          <w:kern w:val="2"/>
          <w:highlight w:val="none"/>
          <w:lang w:val="en-US" w:eastAsia="zh-CN"/>
        </w:rPr>
      </w:pPr>
      <w:r>
        <w:rPr>
          <w:rFonts w:hint="eastAsia" w:ascii="宋体" w:hAnsi="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20"/>
        <w:numPr>
          <w:ilvl w:val="0"/>
          <w:numId w:val="21"/>
        </w:numPr>
        <w:adjustRightInd/>
        <w:spacing w:line="360" w:lineRule="auto"/>
        <w:ind w:firstLine="458" w:firstLineChars="190"/>
        <w:rPr>
          <w:rFonts w:hint="eastAsia" w:ascii="宋体" w:hAnsi="宋体" w:cs="宋体"/>
          <w:bCs/>
          <w:color w:val="auto"/>
          <w:kern w:val="2"/>
          <w:highlight w:val="none"/>
          <w:lang w:val="en-US" w:eastAsia="zh-CN"/>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投资策略</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cs="宋体"/>
          <w:bCs/>
          <w:color w:val="000000"/>
          <w:sz w:val="24"/>
          <w:highlight w:val="none"/>
        </w:rPr>
      </w:pPr>
      <w:r>
        <w:rPr>
          <w:rFonts w:hint="eastAsia" w:ascii="宋体" w:hAnsi="宋体" w:eastAsia="宋体" w:cs="宋体"/>
          <w:kern w:val="2"/>
          <w:sz w:val="24"/>
          <w:szCs w:val="24"/>
          <w:lang w:val="en-US" w:eastAsia="zh-CN" w:bidi="ar"/>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hAnsi="宋体" w:eastAsia="宋体" w:cs="宋体"/>
          <w:b/>
          <w:bCs/>
          <w:kern w:val="2"/>
          <w:sz w:val="24"/>
          <w:szCs w:val="24"/>
          <w:lang w:val="en-US" w:eastAsia="zh-CN" w:bidi="ar"/>
        </w:rPr>
        <w:t>本产品还可能根据市场行情，在监管政策允许的范围内，在适当的时机投资不高于理财产品总资产的</w:t>
      </w:r>
      <w:r>
        <w:rPr>
          <w:rFonts w:hint="eastAsia" w:ascii="宋体" w:hAnsi="Calibri" w:eastAsia="宋体" w:cs="宋体"/>
          <w:b/>
          <w:bCs/>
          <w:kern w:val="2"/>
          <w:sz w:val="24"/>
          <w:szCs w:val="24"/>
          <w:lang w:val="en-US" w:eastAsia="zh-CN" w:bidi="ar"/>
        </w:rPr>
        <w:t>20%的资金于其他资产</w:t>
      </w:r>
      <w:r>
        <w:rPr>
          <w:rFonts w:hint="eastAsia" w:ascii="宋体" w:hAnsi="宋体" w:cs="宋体"/>
          <w:bCs/>
          <w:color w:val="000000"/>
          <w:sz w:val="24"/>
          <w:highlight w:val="none"/>
        </w:rPr>
        <w:t>。</w:t>
      </w:r>
    </w:p>
    <w:p>
      <w:pPr>
        <w:numPr>
          <w:ilvl w:val="0"/>
          <w:numId w:val="2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val="0"/>
          <w:bCs/>
          <w:sz w:val="24"/>
          <w:highlight w:val="none"/>
          <w:lang w:val="en-US" w:eastAsia="zh-CN"/>
        </w:rPr>
      </w:pPr>
      <w:r>
        <w:rPr>
          <w:rFonts w:hint="eastAsia" w:ascii="宋体" w:hAnsi="宋体" w:cs="宋体"/>
          <w:b w:val="0"/>
          <w:bCs/>
          <w:sz w:val="24"/>
          <w:highlight w:val="none"/>
          <w:lang w:val="en-US" w:eastAsia="zh-CN"/>
        </w:rPr>
        <w:t>投资限制中列示的资产品种不代表管理人的实际投向，本理财计划投资范围以“投资范围”章节表述为准。</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3"/>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numPr>
          <w:ilvl w:val="0"/>
          <w:numId w:val="2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管理人</w:t>
      </w:r>
      <w:r>
        <w:rPr>
          <w:rFonts w:hint="eastAsia" w:ascii="宋体" w:hAnsi="宋体" w:cs="宋体"/>
          <w:bCs/>
          <w:sz w:val="24"/>
          <w:highlight w:val="none"/>
        </w:rPr>
        <w:t>发行的全部</w:t>
      </w:r>
      <w:r>
        <w:rPr>
          <w:rFonts w:hint="eastAsia" w:ascii="宋体" w:hAnsi="宋体"/>
          <w:sz w:val="24"/>
          <w:highlight w:val="none"/>
        </w:rPr>
        <w:t>开放式公募</w:t>
      </w:r>
      <w:r>
        <w:rPr>
          <w:rFonts w:hint="eastAsia" w:ascii="宋体" w:hAnsi="宋体" w:cs="宋体"/>
          <w:bCs/>
          <w:sz w:val="24"/>
          <w:highlight w:val="none"/>
        </w:rPr>
        <w:t>理财计划</w:t>
      </w:r>
      <w:r>
        <w:rPr>
          <w:rFonts w:hint="eastAsia" w:ascii="宋体" w:hAnsi="宋体"/>
          <w:sz w:val="24"/>
          <w:highlight w:val="none"/>
        </w:rPr>
        <w:t>投资单一上市公司发行的股票,不得超过该上市公司可流通股票的15%。</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本理财计划投资的非标准化债权类资产到期日不得晚于理财计划最近一次开放日。</w:t>
      </w:r>
    </w:p>
    <w:p>
      <w:pPr>
        <w:numPr>
          <w:ilvl w:val="0"/>
          <w:numId w:val="22"/>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本理财计划的总资产不得超过净资产的140%。</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流动性限制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本理财计划直接投资于流动性受限资产的市值在开放日不得超过该理财计划资产净值的15%。</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本理财计划还应满足以下限制</w:t>
      </w:r>
      <w:r>
        <w:rPr>
          <w:rFonts w:hint="eastAsia" w:ascii="宋体" w:hAnsi="宋体" w:cs="宋体"/>
          <w:bCs/>
          <w:color w:val="000000"/>
          <w:sz w:val="24"/>
          <w:highlight w:val="none"/>
        </w:rPr>
        <w:t>【</w:t>
      </w:r>
      <w:r>
        <w:rPr>
          <w:rFonts w:hint="eastAsia" w:ascii="宋体" w:hAnsi="宋体" w:cs="宋体"/>
          <w:bCs/>
          <w:color w:val="000000"/>
          <w:sz w:val="24"/>
          <w:highlight w:val="none"/>
          <w:lang w:eastAsia="zh"/>
        </w:rPr>
        <w:t>b</w:t>
      </w:r>
      <w:r>
        <w:rPr>
          <w:rFonts w:hint="eastAsia" w:ascii="宋体" w:hAnsi="宋体" w:cs="宋体"/>
          <w:bCs/>
          <w:color w:val="000000"/>
          <w:sz w:val="24"/>
          <w:highlight w:val="none"/>
        </w:rPr>
        <w:t>】</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w:t>
      </w:r>
      <w:r>
        <w:rPr>
          <w:rFonts w:hint="eastAsia" w:ascii="宋体" w:hAnsi="宋体" w:cs="宋体"/>
          <w:bCs/>
          <w:color w:val="000000"/>
          <w:sz w:val="24"/>
          <w:highlight w:val="none"/>
        </w:rPr>
        <w:t>应当持有不低于该理财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本理财计划应当在开放日及开放日前7个工作日内持有不低于该理财计划资产净值5%的现金或者到期日在一年以内的国债、中央银行票据和政策性金融债券。</w:t>
      </w:r>
    </w:p>
    <w:p>
      <w:pPr>
        <w:numPr>
          <w:ilvl w:val="0"/>
          <w:numId w:val="26"/>
        </w:numPr>
        <w:spacing w:line="360" w:lineRule="auto"/>
        <w:ind w:firstLine="720" w:firstLineChars="300"/>
        <w:jc w:val="left"/>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本理财计划不存在活跃交易市场，并且需要采用估值技术确定公允价值的资产比例不得超过理财产品净资产50%以上。</w:t>
      </w:r>
    </w:p>
    <w:p>
      <w:pPr>
        <w:numPr>
          <w:ilvl w:val="0"/>
          <w:numId w:val="25"/>
        </w:numPr>
        <w:spacing w:line="360" w:lineRule="auto"/>
        <w:ind w:firstLine="480" w:firstLineChars="200"/>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ind w:left="0" w:leftChars="0" w:firstLine="482" w:firstLineChars="200"/>
        <w:jc w:val="left"/>
        <w:outlineLvl w:val="9"/>
        <w:rPr>
          <w:rFonts w:hint="eastAsia" w:ascii="宋体" w:hAnsi="宋体" w:cs="宋体"/>
          <w:b/>
          <w:bCs w:val="0"/>
          <w:sz w:val="24"/>
          <w:highlight w:val="none"/>
        </w:rPr>
      </w:pPr>
      <w:r>
        <w:rPr>
          <w:rFonts w:hint="eastAsia" w:ascii="宋体" w:hAnsi="宋体" w:cs="宋体"/>
          <w:b/>
          <w:bCs w:val="0"/>
          <w:sz w:val="24"/>
          <w:highlight w:val="none"/>
          <w:lang w:eastAsia="zh-CN"/>
        </w:rPr>
        <w:t>拟投资市场、资产的流动性风险评估</w:t>
      </w:r>
    </w:p>
    <w:p>
      <w:pPr>
        <w:numPr>
          <w:ilvl w:val="0"/>
          <w:numId w:val="0"/>
        </w:numPr>
        <w:spacing w:line="360" w:lineRule="auto"/>
        <w:ind w:firstLine="480" w:firstLineChars="20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8"/>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30"/>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1"/>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11"/>
        <w:tblW w:w="7556"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33"/>
        <w:gridCol w:w="1688"/>
        <w:gridCol w:w="1325"/>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销售机构信息</w:t>
            </w:r>
          </w:p>
        </w:tc>
        <w:tc>
          <w:tcPr>
            <w:tcW w:w="1688"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兴业银行股份有限公司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厦门国际银行股份有限公司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富邦华一银行有限公司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宁波鄞州农村商业银行股份有限公司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深圳前海微众银行股份有限公司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吉林亿联银行股份有限公司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重庆富民银行股份有限公司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中信百信银行股份有限公司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江苏苏商银行股份有限公司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aps w:val="0"/>
                <w:color w:val="000000"/>
                <w:spacing w:val="0"/>
                <w:kern w:val="0"/>
                <w:sz w:val="21"/>
                <w:szCs w:val="21"/>
                <w:lang w:val="en-US" w:eastAsia="zh-CN" w:bidi="ar"/>
              </w:rPr>
              <w:t>956101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石嘴山银行股份有限公司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广东南粤银行股份有限公司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400-68-96588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澳门国际银行股份有限公司广州分行</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江苏常熟农村商业银行股份有限公司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江苏省常熟市新世纪大道58号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956020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浙商银行股份有限公司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浙江省杭州市萧山区鸿宁路1788号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九江银行股份有限公司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江西省九江市濂溪区长虹大道619号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北京市西城区月坛南街1号院2号楼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96198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412"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浙江舟山定海海洋农村商业银行股份有限公司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浙江省舟山市定海区环城东路81号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0580-2030956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浙江临安农村商业银行股份有限公司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浙江省杭州市临安区钱王街821号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0571-61105831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浙江青田农村商业银行股份有限公司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浙江省丽水市青田县鹤城街道鹤城东路180号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0578-6833720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南洋商业银行（中国）有限公司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上海市浦明路898号13层至16层、18层至20层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浙江新昌农村商业银行股份有限公司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浙江省新昌县七星街道七星路18号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浙江省永嘉县瓯北镇阳光大道3918号永嘉农商银行总行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4008057705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浙江永康农村商业银行股份有限公司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浙江省永康市九铃东路3259号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浙江衢州衢江农村商业银行股份有限公司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浙江省衢州市衢江区信安东路37号衢江农商银行6楼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0570-3026608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新韩银行（中国）有限公司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北京市朝阳区工体北路甲6号中宇大厦12层，11层1101，1102及1109单元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400 6688 600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浙江开化县芹阳办事处永吉二路8号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0570-6025125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潍坊银行股份有限公司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山东省潍坊市胜利东街5139号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400-61-96588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浙江江山农村商业银行股份有限公司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浙江省江山市江滨路188号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浙江常山农村商业银行股份有限公司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浙江省衢州市常山县紫港街道文教东路258号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浙江武义农村商业银行股份有限公司</w:t>
            </w: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住所</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浙江省金华市武义县武阳中路37号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88"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32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客服热线</w:t>
            </w:r>
          </w:p>
        </w:tc>
        <w:tc>
          <w:tcPr>
            <w:tcW w:w="34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rPr>
            </w:pPr>
            <w:r>
              <w:rPr>
                <w:rFonts w:hint="eastAsia" w:ascii="宋体" w:hAnsi="宋体" w:eastAsia="宋体" w:cs="宋体"/>
                <w:i w:val="0"/>
                <w:iCs w:val="0"/>
                <w:color w:val="000000"/>
                <w:kern w:val="0"/>
                <w:sz w:val="21"/>
                <w:szCs w:val="21"/>
                <w:lang w:val="en-US" w:eastAsia="zh-CN" w:bidi="ar"/>
              </w:rPr>
              <w:t>0579-87663486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销售机构职责</w:t>
            </w:r>
          </w:p>
        </w:tc>
        <w:tc>
          <w:tcPr>
            <w:tcW w:w="642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主要负责理财计划推广、投资者风险承受能力评估、投资者适当性管理、理财计划份额认购、申购及赎回办理。</w:t>
            </w:r>
            <w:r>
              <w:rPr>
                <w:rFonts w:hint="eastAsia" w:ascii="宋体" w:hAnsi="宋体" w:eastAsia="宋体" w:cs="宋体"/>
                <w:kern w:val="2"/>
                <w:sz w:val="21"/>
                <w:szCs w:val="21"/>
                <w:lang w:val="en-US" w:eastAsia="zh-CN" w:bidi="ar"/>
              </w:rPr>
              <w:br w:type="textWrapping"/>
            </w:r>
            <w:r>
              <w:rPr>
                <w:rFonts w:hint="eastAsia" w:ascii="宋体" w:hAnsi="宋体" w:eastAsia="宋体" w:cs="宋体"/>
                <w:kern w:val="2"/>
                <w:sz w:val="21"/>
                <w:szCs w:val="21"/>
                <w:lang w:val="en-US" w:eastAsia="zh-CN" w:bidi="ar"/>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工作日</w:t>
      </w:r>
      <w:r>
        <w:rPr>
          <w:rFonts w:hint="eastAsia" w:ascii="宋体" w:hAnsi="宋体" w:cs="宋体"/>
          <w:bCs/>
          <w:color w:val="000000"/>
          <w:sz w:val="24"/>
          <w:highlight w:val="none"/>
        </w:rPr>
        <w:t>，定期由理财管理人和理财托管人核对估值结果并向投资者披露，具体日期以管理人公告为准。</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20"/>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债券及同业存单类资产，按市价法估值。市价法不能确定公允价值的，采用估值技术进行估值。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债权类资产，按市价法估值。市价法不能确定其公允价值的，采用估值技术进行估值。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lang w:val="en-US" w:eastAsia="zh-CN"/>
        </w:rPr>
        <w:t>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首次发行未上市的股票，按发行价格进行估值；</w:t>
      </w:r>
    </w:p>
    <w:p>
      <w:pPr>
        <w:numPr>
          <w:ilvl w:val="0"/>
          <w:numId w:val="0"/>
        </w:num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因持有股票而享有的配股权，采用估值技术确定公允价值。</w:t>
      </w:r>
    </w:p>
    <w:p>
      <w:pPr>
        <w:numPr>
          <w:ilvl w:val="0"/>
          <w:numId w:val="3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3"/>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20"/>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20"/>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20"/>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当</w:t>
      </w:r>
      <w:r>
        <w:rPr>
          <w:rFonts w:hint="eastAsia" w:ascii="宋体" w:hAnsi="宋体" w:cs="宋体"/>
          <w:bCs/>
          <w:color w:val="000000"/>
          <w:sz w:val="24"/>
          <w:highlight w:val="none"/>
          <w:lang w:val="en-US" w:eastAsia="zh-CN"/>
        </w:rPr>
        <w:t>前一估值日理财计划资产净值50%以上的资产不具备活跃交易市场或者在活跃市场中无报价，且不能采用估值技术可靠计量公允价值时，管理人应当暂停该理财计划估值，并按照监管规定采取</w:t>
      </w:r>
      <w:r>
        <w:rPr>
          <w:rFonts w:hint="eastAsia" w:ascii="宋体" w:hAnsi="宋体" w:cs="宋体"/>
          <w:bCs/>
          <w:color w:val="000000"/>
          <w:sz w:val="24"/>
          <w:highlight w:val="none"/>
        </w:rPr>
        <w:t>延缓支付赎回款项或暂停接受理财</w:t>
      </w:r>
      <w:r>
        <w:rPr>
          <w:rFonts w:hint="eastAsia" w:ascii="宋体" w:hAnsi="宋体" w:cs="宋体"/>
          <w:bCs/>
          <w:color w:val="000000"/>
          <w:sz w:val="24"/>
          <w:highlight w:val="none"/>
          <w:lang w:eastAsia="zh-CN"/>
        </w:rPr>
        <w:t>计划</w:t>
      </w:r>
      <w:r>
        <w:rPr>
          <w:rFonts w:hint="eastAsia" w:ascii="宋体" w:hAnsi="宋体" w:cs="宋体"/>
          <w:bCs/>
          <w:color w:val="000000"/>
          <w:sz w:val="24"/>
          <w:highlight w:val="none"/>
        </w:rPr>
        <w:t>认购、赎回申请等</w:t>
      </w:r>
      <w:r>
        <w:rPr>
          <w:rFonts w:hint="eastAsia" w:ascii="宋体" w:hAnsi="宋体" w:cs="宋体"/>
          <w:bCs/>
          <w:color w:val="000000"/>
          <w:sz w:val="24"/>
          <w:highlight w:val="none"/>
          <w:lang w:val="en-US" w:eastAsia="zh-CN"/>
        </w:rPr>
        <w:t>措施。</w:t>
      </w:r>
    </w:p>
    <w:p>
      <w:pPr>
        <w:numPr>
          <w:ilvl w:val="0"/>
          <w:numId w:val="3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、托管费、固定管理费、认购费、申购费、赎回费、浮动管理费以及理财计划运作和清算中产生的其他费用等。</w:t>
      </w:r>
    </w:p>
    <w:p>
      <w:pPr>
        <w:numPr>
          <w:ilvl w:val="0"/>
          <w:numId w:val="3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w:t>
      </w: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H为每日应计提的</w:t>
      </w:r>
      <w:r>
        <w:rPr>
          <w:rFonts w:hint="eastAsia" w:ascii="宋体" w:hAnsi="宋体" w:cs="宋体"/>
          <w:bCs/>
          <w:color w:val="000000"/>
          <w:sz w:val="24"/>
          <w:szCs w:val="24"/>
          <w:highlight w:val="none"/>
          <w:lang w:eastAsia="zh-CN"/>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lang w:eastAsia="zh-CN"/>
        </w:rPr>
        <w:t>销售服务费</w:t>
      </w:r>
      <w:r>
        <w:rPr>
          <w:rFonts w:hint="eastAsia" w:ascii="宋体" w:hAnsi="宋体" w:cs="宋体"/>
          <w:bCs/>
          <w:color w:val="000000"/>
          <w:sz w:val="24"/>
          <w:szCs w:val="24"/>
          <w:highlight w:val="none"/>
        </w:rPr>
        <w:t>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托管费原则上按日计提。</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以</w:t>
      </w:r>
      <w:r>
        <w:rPr>
          <w:rFonts w:hint="eastAsia" w:ascii="宋体" w:hAnsi="宋体" w:eastAsia="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eastAsia="宋体" w:cs="宋体"/>
          <w:bCs/>
          <w:color w:val="000000"/>
          <w:sz w:val="24"/>
          <w:szCs w:val="24"/>
          <w:highlight w:val="none"/>
          <w:lang w:val="en-US" w:eastAsia="zh-CN"/>
        </w:rPr>
        <w:t>份额</w:t>
      </w:r>
      <w:r>
        <w:rPr>
          <w:rFonts w:hint="eastAsia" w:ascii="宋体" w:hAnsi="宋体" w:eastAsia="宋体" w:cs="宋体"/>
          <w:bCs/>
          <w:color w:val="000000"/>
          <w:sz w:val="24"/>
          <w:szCs w:val="24"/>
          <w:highlight w:val="none"/>
        </w:rPr>
        <w:t>〗为例</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理财计划财产的年化固定管理费率为</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，计算方法如下：</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H＝E×</w:t>
      </w:r>
      <w:r>
        <w:rPr>
          <w:rFonts w:hint="eastAsia" w:ascii="宋体" w:hAnsi="宋体" w:eastAsia="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÷365</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H为每日应计提的</w:t>
      </w:r>
      <w:r>
        <w:rPr>
          <w:rFonts w:hint="eastAsia" w:ascii="宋体" w:hAnsi="宋体" w:eastAsia="宋体" w:cs="宋体"/>
          <w:bCs/>
          <w:color w:val="000000"/>
          <w:sz w:val="24"/>
          <w:szCs w:val="24"/>
          <w:highlight w:val="none"/>
          <w:lang w:eastAsia="zh-CN"/>
        </w:rPr>
        <w:t>固定</w:t>
      </w:r>
      <w:r>
        <w:rPr>
          <w:rFonts w:hint="eastAsia" w:ascii="宋体" w:hAnsi="宋体" w:eastAsia="宋体" w:cs="宋体"/>
          <w:bCs/>
          <w:color w:val="000000"/>
          <w:sz w:val="24"/>
          <w:szCs w:val="24"/>
          <w:highlight w:val="none"/>
        </w:rPr>
        <w:t>管理费</w:t>
      </w:r>
    </w:p>
    <w:p>
      <w:pPr>
        <w:spacing w:line="360" w:lineRule="auto"/>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szCs w:val="24"/>
          <w:highlight w:val="none"/>
        </w:rPr>
        <w:t>固定管理费原则上按日计提</w:t>
      </w:r>
      <w:r>
        <w:rPr>
          <w:rFonts w:hint="eastAsia" w:ascii="宋体" w:hAnsi="宋体" w:eastAsia="宋体" w:cs="宋体"/>
          <w:bCs/>
          <w:color w:val="000000"/>
          <w:sz w:val="24"/>
          <w:szCs w:val="24"/>
          <w:highlight w:val="none"/>
          <w:lang w:eastAsia="zh-CN"/>
        </w:rPr>
        <w:t>，管理人有权</w:t>
      </w:r>
      <w:r>
        <w:rPr>
          <w:rFonts w:hint="eastAsia" w:ascii="宋体" w:hAnsi="宋体" w:eastAsia="宋体" w:cs="宋体"/>
          <w:bCs/>
          <w:color w:val="000000"/>
          <w:sz w:val="24"/>
          <w:szCs w:val="24"/>
          <w:highlight w:val="none"/>
          <w:lang w:val="en-US" w:eastAsia="zh-CN"/>
        </w:rPr>
        <w:t>根据实际运作情况</w:t>
      </w:r>
      <w:r>
        <w:rPr>
          <w:rFonts w:hint="eastAsia" w:ascii="宋体" w:hAnsi="宋体" w:eastAsia="宋体" w:cs="宋体"/>
          <w:bCs/>
          <w:color w:val="000000"/>
          <w:sz w:val="24"/>
          <w:szCs w:val="24"/>
          <w:highlight w:val="none"/>
          <w:lang w:eastAsia="zh-CN"/>
        </w:rPr>
        <w:t>减免固定管理费</w:t>
      </w:r>
      <w:r>
        <w:rPr>
          <w:rFonts w:hint="eastAsia" w:ascii="宋体" w:hAnsi="宋体" w:eastAsia="宋体" w:cs="宋体"/>
          <w:bCs/>
          <w:color w:val="000000"/>
          <w:sz w:val="24"/>
          <w:szCs w:val="24"/>
          <w:highlight w:val="none"/>
          <w:lang w:eastAsia="zh"/>
        </w:rPr>
        <w:t>。</w:t>
      </w:r>
    </w:p>
    <w:p>
      <w:pPr>
        <w:numPr>
          <w:ilvl w:val="0"/>
          <w:numId w:val="37"/>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本理财计划免除认购费。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申购费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本理财计划免除申购费。</w:t>
      </w:r>
    </w:p>
    <w:p>
      <w:pPr>
        <w:numPr>
          <w:ilvl w:val="0"/>
          <w:numId w:val="38"/>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赎回费</w:t>
      </w:r>
    </w:p>
    <w:p>
      <w:pPr>
        <w:spacing w:line="360" w:lineRule="auto"/>
        <w:ind w:firstLine="480" w:firstLineChars="200"/>
        <w:jc w:val="left"/>
        <w:rPr>
          <w:rFonts w:ascii="宋体" w:hAnsi="宋体" w:cs="宋体"/>
          <w:b/>
          <w:color w:val="FF0000"/>
          <w:sz w:val="24"/>
          <w:highlight w:val="none"/>
        </w:rPr>
      </w:pPr>
      <w:r>
        <w:rPr>
          <w:rFonts w:hint="eastAsia" w:ascii="宋体" w:hAnsi="宋体" w:cs="宋体"/>
          <w:bCs/>
          <w:color w:val="000000"/>
          <w:sz w:val="24"/>
          <w:highlight w:val="none"/>
        </w:rPr>
        <w:t>本理财计划免除赎回费。</w:t>
      </w:r>
    </w:p>
    <w:p>
      <w:pPr>
        <w:numPr>
          <w:ilvl w:val="0"/>
          <w:numId w:val="39"/>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理财管理人根据理财计划投资情况计算浮动管理费，本理财计划</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投资周期的</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折合年化收益率超</w:t>
      </w:r>
      <w:r>
        <w:rPr>
          <w:rFonts w:hint="eastAsia" w:ascii="宋体" w:hAnsi="宋体" w:cs="宋体"/>
          <w:bCs/>
          <w:color w:val="000000"/>
          <w:sz w:val="24"/>
          <w:szCs w:val="24"/>
          <w:highlight w:val="none"/>
          <w:lang w:eastAsia="zh"/>
        </w:rPr>
        <w:t>过</w:t>
      </w:r>
      <w:r>
        <w:rPr>
          <w:rFonts w:hint="eastAsia" w:ascii="宋体" w:hAnsi="宋体" w:eastAsia="宋体" w:cs="宋体"/>
          <w:bCs/>
          <w:color w:val="000000"/>
          <w:kern w:val="2"/>
          <w:sz w:val="24"/>
          <w:szCs w:val="24"/>
          <w:highlight w:val="none"/>
          <w:lang w:val="en-US" w:eastAsia="zh" w:bidi="ar-SA"/>
        </w:rPr>
        <w:t>2.25</w:t>
      </w:r>
      <w:r>
        <w:rPr>
          <w:rFonts w:hint="eastAsia" w:ascii="宋体" w:hAnsi="宋体" w:cs="宋体"/>
          <w:bCs/>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的部分管理人提取</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50</w:t>
      </w:r>
      <w:r>
        <w:rPr>
          <w:rFonts w:hint="eastAsia" w:ascii="宋体" w:hAnsi="宋体" w:cs="宋体"/>
          <w:color w:val="000000"/>
          <w:sz w:val="24"/>
          <w:szCs w:val="24"/>
          <w:highlight w:val="none"/>
          <w:lang w:eastAsia="zh"/>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作为浮动管理费，每个投资周期结束后收取。本理财计划投资周期的折合年化收益率若小于或等于</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2.25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则不收取浮动管理费。</w:t>
      </w:r>
      <w:r>
        <w:rPr>
          <w:rFonts w:hint="eastAsia" w:ascii="宋体" w:hAnsi="宋体" w:cs="宋体"/>
          <w:bCs/>
          <w:color w:val="000000"/>
          <w:sz w:val="24"/>
          <w:szCs w:val="24"/>
          <w:highlight w:val="none"/>
          <w:lang w:eastAsia="zh-CN"/>
        </w:rPr>
        <w:t>浮动管理费原则上按估值日计提，</w:t>
      </w:r>
      <w:r>
        <w:rPr>
          <w:rFonts w:hint="eastAsia" w:ascii="宋体" w:hAnsi="宋体" w:cs="宋体"/>
          <w:bCs/>
          <w:color w:val="000000"/>
          <w:sz w:val="24"/>
          <w:szCs w:val="24"/>
          <w:highlight w:val="none"/>
          <w:lang w:val="en-US" w:eastAsia="zh-CN"/>
        </w:rPr>
        <w:t>赎回/理财计划</w:t>
      </w:r>
      <w:r>
        <w:rPr>
          <w:rFonts w:hint="eastAsia" w:ascii="宋体" w:hAnsi="宋体" w:cs="宋体"/>
          <w:bCs/>
          <w:color w:val="000000"/>
          <w:sz w:val="24"/>
          <w:szCs w:val="24"/>
          <w:highlight w:val="none"/>
          <w:lang w:eastAsia="zh-CN"/>
        </w:rPr>
        <w:t>到期收取。以</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A</w:t>
      </w:r>
      <w:r>
        <w:rPr>
          <w:rFonts w:hint="eastAsia" w:ascii="宋体" w:hAnsi="宋体" w:cs="宋体"/>
          <w:color w:val="000000"/>
          <w:sz w:val="24"/>
          <w:szCs w:val="24"/>
          <w:highlight w:val="none"/>
          <w:lang w:val="en-US" w:eastAsia="zh-CN"/>
        </w:rPr>
        <w:t>份额</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为例，</w:t>
      </w:r>
      <w:r>
        <w:rPr>
          <w:rFonts w:hint="eastAsia" w:ascii="宋体" w:hAnsi="宋体" w:cs="宋体"/>
          <w:bCs/>
          <w:color w:val="000000"/>
          <w:sz w:val="24"/>
          <w:szCs w:val="24"/>
          <w:highlight w:val="none"/>
        </w:rPr>
        <w:t>具体计算方法如下：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H＝E×NAV0×(K-R)×〖</w:t>
      </w:r>
      <w:r>
        <w:rPr>
          <w:rFonts w:hint="eastAsia" w:ascii="宋体" w:hAnsi="宋体" w:eastAsia="宋体" w:cs="宋体"/>
          <w:bCs/>
          <w:color w:val="000000"/>
          <w:kern w:val="2"/>
          <w:sz w:val="24"/>
          <w:szCs w:val="24"/>
          <w:highlight w:val="none"/>
          <w:lang w:val="en-US" w:eastAsia="zh-CN" w:bidi="ar-SA"/>
        </w:rPr>
        <w:t>50</w:t>
      </w:r>
      <w:r>
        <w:rPr>
          <w:rFonts w:hint="eastAsia" w:ascii="宋体" w:hAnsi="宋体" w:cs="宋体"/>
          <w:bCs/>
          <w:color w:val="000000"/>
          <w:sz w:val="24"/>
          <w:szCs w:val="24"/>
          <w:highlight w:val="none"/>
        </w:rPr>
        <w:t>%〗×N÷365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其中，K=(NAV1-NAV0+T)÷NAV0×365÷N</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H为当前确认日应收取浮动管理费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w:t>
      </w:r>
      <w:r>
        <w:rPr>
          <w:rFonts w:hint="eastAsia" w:ascii="宋体" w:hAnsi="宋体" w:cs="宋体"/>
          <w:bCs/>
          <w:color w:val="000000"/>
          <w:sz w:val="24"/>
          <w:szCs w:val="24"/>
          <w:highlight w:val="none"/>
          <w:lang w:val="en-US" w:eastAsia="zh-CN"/>
        </w:rPr>
        <w:t>理财计划</w:t>
      </w:r>
      <w:r>
        <w:rPr>
          <w:rFonts w:hint="eastAsia" w:ascii="宋体" w:hAnsi="宋体" w:cs="宋体"/>
          <w:bCs/>
          <w:color w:val="000000"/>
          <w:sz w:val="24"/>
          <w:szCs w:val="24"/>
          <w:highlight w:val="none"/>
        </w:rPr>
        <w:t>上一个确认日的存续份额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K为收取浮动管理费前投资者赎回份额对应持有区间折合年化收益率</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NAV0为上一个确认日前一日费后单位净值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NAV1为当前确认日前一日未扣除浮动管理费前的单位净值</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R为本次投资周期的</w:t>
      </w:r>
      <w:r>
        <w:rPr>
          <w:rFonts w:hint="eastAsia" w:ascii="宋体" w:hAnsi="宋体" w:cs="宋体"/>
          <w:bCs/>
          <w:color w:val="000000"/>
          <w:sz w:val="24"/>
          <w:szCs w:val="24"/>
          <w:highlight w:val="none"/>
          <w:lang w:val="en-US" w:eastAsia="zh-CN"/>
        </w:rPr>
        <w:t>浮动管理费计提基数</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N为上一个确认日（含）至当前确认日（不含）的实际理财天数</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szCs w:val="24"/>
          <w:highlight w:val="none"/>
        </w:rPr>
        <w:t>T为当前投资周期内每单位份额的实际分红金额的合计（如有）</w:t>
      </w:r>
    </w:p>
    <w:p>
      <w:pPr>
        <w:numPr>
          <w:ilvl w:val="0"/>
          <w:numId w:val="40"/>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4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ind w:firstLine="482" w:firstLineChars="200"/>
        <w:jc w:val="left"/>
        <w:rPr>
          <w:rFonts w:ascii="宋体" w:hAnsi="宋体" w:cs="宋体"/>
          <w:bCs/>
          <w:sz w:val="24"/>
          <w:highlight w:val="none"/>
        </w:rPr>
      </w:pP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43"/>
        </w:numPr>
        <w:spacing w:line="360" w:lineRule="auto"/>
        <w:ind w:firstLine="480" w:firstLineChars="200"/>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3"/>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43"/>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投资者理财收益＝赎回份额×赎回确认日（提前终止日）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单位净值-认购或申购金额+</w:t>
      </w:r>
      <w:r>
        <w:rPr>
          <w:rFonts w:hint="eastAsia" w:ascii="宋体" w:hAnsi="宋体" w:cs="宋体"/>
          <w:bCs/>
          <w:sz w:val="24"/>
          <w:highlight w:val="none"/>
        </w:rPr>
        <w:t>份额持有期间累计分红（如有）</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份额=认购或申购金额÷认购或申购确认日</w:t>
      </w:r>
      <w:r>
        <w:rPr>
          <w:rFonts w:hint="eastAsia" w:ascii="宋体" w:hAnsi="宋体" w:cs="宋体"/>
          <w:bCs/>
          <w:color w:val="000000"/>
          <w:sz w:val="24"/>
          <w:highlight w:val="none"/>
          <w:lang w:val="en-US" w:eastAsia="zh-CN"/>
        </w:rPr>
        <w:t>前一日</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赎回确认日（提前终止日）</w:t>
      </w:r>
      <w:r>
        <w:rPr>
          <w:rFonts w:hint="eastAsia" w:ascii="宋体" w:hAnsi="宋体" w:cs="宋体"/>
          <w:bCs/>
          <w:color w:val="000000"/>
          <w:sz w:val="24"/>
          <w:highlight w:val="none"/>
          <w:lang w:val="en-US" w:eastAsia="zh-CN"/>
        </w:rPr>
        <w:t>前一日的</w:t>
      </w:r>
      <w:r>
        <w:rPr>
          <w:rFonts w:hint="eastAsia" w:ascii="宋体" w:hAnsi="宋体" w:cs="宋体"/>
          <w:bCs/>
          <w:color w:val="000000"/>
          <w:sz w:val="24"/>
          <w:highlight w:val="none"/>
        </w:rPr>
        <w:t>单位净值为提取相关费用及税费后的单位理财计划份额净值。</w:t>
      </w:r>
    </w:p>
    <w:p>
      <w:pPr>
        <w:numPr>
          <w:ilvl w:val="0"/>
          <w:numId w:val="44"/>
        </w:numPr>
        <w:spacing w:line="360" w:lineRule="auto"/>
        <w:jc w:val="left"/>
        <w:outlineLvl w:val="9"/>
        <w:rPr>
          <w:rFonts w:hint="eastAsia" w:ascii="宋体" w:hAnsi="宋体" w:cs="宋体"/>
          <w:bCs/>
          <w:color w:val="000000"/>
          <w:sz w:val="24"/>
          <w:highlight w:val="none"/>
        </w:rPr>
      </w:pPr>
      <w:r>
        <w:rPr>
          <w:rFonts w:hint="eastAsia" w:ascii="宋体" w:hAnsi="宋体" w:cs="宋体"/>
          <w:b/>
          <w:sz w:val="24"/>
          <w:highlight w:val="none"/>
        </w:rPr>
        <w:t>示例说明</w:t>
      </w:r>
    </w:p>
    <w:p>
      <w:pPr>
        <w:numPr>
          <w:ilvl w:val="0"/>
          <w:numId w:val="0"/>
        </w:numPr>
        <w:spacing w:line="360" w:lineRule="auto"/>
        <w:ind w:left="420" w:leftChars="0"/>
        <w:jc w:val="left"/>
        <w:outlineLvl w:val="9"/>
        <w:rPr>
          <w:rFonts w:hint="eastAsia" w:ascii="宋体" w:hAnsi="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。假设管理人提取超过5.00%的50%作为浮动管理费，浮动管理费计提基</w:t>
      </w:r>
      <w:r>
        <w:rPr>
          <w:rFonts w:hint="eastAsia" w:ascii="宋体" w:hAnsi="宋体" w:eastAsia="宋体" w:cs="宋体"/>
          <w:color w:val="000000"/>
          <w:kern w:val="2"/>
          <w:sz w:val="24"/>
          <w:szCs w:val="24"/>
          <w:lang w:val="en-US" w:eastAsia="zh" w:bidi="ar"/>
        </w:rPr>
        <w:t>数</w:t>
      </w:r>
      <w:r>
        <w:rPr>
          <w:rFonts w:hint="eastAsia" w:ascii="宋体" w:hAnsi="宋体" w:eastAsia="宋体" w:cs="宋体"/>
          <w:color w:val="000000"/>
          <w:kern w:val="2"/>
          <w:sz w:val="24"/>
          <w:szCs w:val="24"/>
          <w:lang w:val="en-US" w:eastAsia="zh-CN" w:bidi="ar"/>
        </w:rPr>
        <w:t>为5.00%，期间无分红。赎回时扣除托管费、固定管理费、销售服务费（如有）后，如理财计划净值为1.0615，此时，(1.0615/1.00-1)×365/362=6.20%&gt;5.00%，即投资收益超过〖5.00%〗，则投资管理人对超过〖5.00%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（100,000.00×1.0615-100,000.00×1.0000-100,000.00×1.0000×5.00%×362/365）×50%=595.55（元）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100,000.00×（1.0615-1.00）-595.55 =5,554.45（元），理财计划赎回时，投资者获得的实际收益相当于达到年化收益率水平为：5,554.45/100,000.00×365/362=5.60%。</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w:t>
      </w:r>
      <w:r>
        <w:rPr>
          <w:rFonts w:hint="eastAsia" w:ascii="宋体" w:hAnsi="宋体" w:eastAsia="宋体" w:cs="宋体"/>
          <w:b/>
          <w:bCs/>
          <w:color w:val="000000"/>
          <w:kern w:val="2"/>
          <w:sz w:val="24"/>
          <w:szCs w:val="24"/>
          <w:lang w:val="en-US" w:eastAsia="zh" w:bidi="ar"/>
        </w:rPr>
        <w:t>数</w:t>
      </w:r>
      <w:r>
        <w:rPr>
          <w:rFonts w:hint="eastAsia" w:ascii="宋体" w:hAnsi="宋体" w:eastAsia="宋体" w:cs="宋体"/>
          <w:b/>
          <w:bCs/>
          <w:color w:val="000000"/>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w:t>
      </w:r>
      <w:r>
        <w:rPr>
          <w:rFonts w:hint="eastAsia" w:ascii="宋体" w:hAnsi="宋体" w:eastAsia="宋体" w:cs="宋体"/>
          <w:b w:val="0"/>
          <w:bCs w:val="0"/>
          <w:kern w:val="2"/>
          <w:sz w:val="24"/>
          <w:szCs w:val="24"/>
          <w:lang w:val="en-US" w:eastAsia="zh" w:bidi="ar"/>
        </w:rPr>
        <w:t>数</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1.0426，此时，(1.0426/1.00-1)×365/362=4.30%&lt;5.00%，即投资收益未达到〖5.00%〗，则投资管理人不收取浮动管理费，投资者最终收益为：100,000.00×(1.0426-1.00）=4,260.00（元）</w:t>
      </w:r>
    </w:p>
    <w:p>
      <w:pPr>
        <w:keepNext w:val="0"/>
        <w:keepLines w:val="0"/>
        <w:widowControl w:val="0"/>
        <w:numPr>
          <w:ilvl w:val="0"/>
          <w:numId w:val="45"/>
        </w:numPr>
        <w:suppressLineNumbers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lang w:val="en-US" w:eastAsia="zh-CN" w:bidi="ar"/>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color w:val="000000"/>
          <w:kern w:val="2"/>
          <w:sz w:val="24"/>
          <w:szCs w:val="24"/>
          <w:lang w:val="en-US" w:eastAsia="zh" w:bidi="ar"/>
        </w:rPr>
      </w:pPr>
      <w:r>
        <w:rPr>
          <w:rFonts w:hint="eastAsia" w:ascii="宋体" w:hAnsi="宋体" w:eastAsia="宋体" w:cs="宋体"/>
          <w:color w:val="000000"/>
          <w:kern w:val="2"/>
          <w:sz w:val="24"/>
          <w:szCs w:val="24"/>
          <w:lang w:val="en-US" w:eastAsia="zh-CN" w:bidi="ar"/>
        </w:rPr>
        <w:t>以某投资者投资10万元〖A份额〗为例，假设购买时理财计划净值为1.00元，折算份额为100,000.00份，假设投资理财计划362天后，</w:t>
      </w:r>
      <w:r>
        <w:rPr>
          <w:rFonts w:hint="eastAsia" w:ascii="宋体" w:hAnsi="宋体" w:eastAsia="宋体" w:cs="宋体"/>
          <w:kern w:val="2"/>
          <w:sz w:val="24"/>
          <w:szCs w:val="24"/>
          <w:lang w:val="en-US" w:eastAsia="zh-CN" w:bidi="ar"/>
        </w:rPr>
        <w:t>赎回份额</w:t>
      </w:r>
      <w:r>
        <w:rPr>
          <w:rFonts w:hint="eastAsia" w:ascii="宋体" w:hAnsi="宋体" w:eastAsia="宋体" w:cs="宋体"/>
          <w:color w:val="000000"/>
          <w:kern w:val="2"/>
          <w:sz w:val="24"/>
          <w:szCs w:val="24"/>
          <w:lang w:val="en-US" w:eastAsia="zh-CN" w:bidi="ar"/>
        </w:rPr>
        <w:t>100,000.00</w:t>
      </w:r>
      <w:r>
        <w:rPr>
          <w:rFonts w:hint="eastAsia" w:ascii="宋体" w:hAnsi="宋体" w:eastAsia="宋体" w:cs="宋体"/>
          <w:kern w:val="2"/>
          <w:sz w:val="24"/>
          <w:szCs w:val="24"/>
          <w:lang w:val="en-US" w:eastAsia="zh-CN" w:bidi="ar"/>
        </w:rPr>
        <w:t>份</w:t>
      </w:r>
      <w:r>
        <w:rPr>
          <w:rFonts w:hint="eastAsia" w:ascii="宋体" w:hAnsi="宋体" w:eastAsia="宋体" w:cs="宋体"/>
          <w:color w:val="000000"/>
          <w:kern w:val="2"/>
          <w:sz w:val="24"/>
          <w:szCs w:val="24"/>
          <w:lang w:val="en-US" w:eastAsia="zh-CN" w:bidi="ar"/>
        </w:rPr>
        <w:t>。假设管理人提取超过5.00%的50%作为浮动管理费，</w:t>
      </w:r>
      <w:r>
        <w:rPr>
          <w:rFonts w:hint="eastAsia" w:ascii="宋体" w:hAnsi="宋体" w:eastAsia="宋体" w:cs="宋体"/>
          <w:b w:val="0"/>
          <w:bCs w:val="0"/>
          <w:kern w:val="2"/>
          <w:sz w:val="24"/>
          <w:szCs w:val="24"/>
          <w:lang w:val="en-US" w:eastAsia="zh-CN" w:bidi="ar"/>
        </w:rPr>
        <w:t>浮动管理费计提基准</w:t>
      </w:r>
      <w:r>
        <w:rPr>
          <w:rFonts w:hint="eastAsia" w:ascii="宋体" w:hAnsi="宋体" w:eastAsia="宋体" w:cs="宋体"/>
          <w:kern w:val="2"/>
          <w:sz w:val="24"/>
          <w:szCs w:val="24"/>
          <w:lang w:val="en-US" w:eastAsia="zh-CN" w:bidi="ar"/>
        </w:rPr>
        <w:t>为5.00%</w:t>
      </w:r>
      <w:r>
        <w:rPr>
          <w:rFonts w:hint="eastAsia" w:ascii="宋体" w:hAnsi="宋体" w:eastAsia="宋体" w:cs="宋体"/>
          <w:color w:val="000000"/>
          <w:kern w:val="2"/>
          <w:sz w:val="24"/>
          <w:szCs w:val="24"/>
          <w:lang w:val="en-US" w:eastAsia="zh-CN" w:bidi="ar"/>
        </w:rPr>
        <w:t>，期间无分红。赎回时扣除托管费、固定管理费、销售服务费（如有）后，如理财计划净值为0.9975，则投资管理人不收取浮动管理费，投资者最终收益为：100,000.00×（0.9975-1.00）=-250.00（元）</w:t>
      </w:r>
      <w:r>
        <w:rPr>
          <w:rFonts w:hint="eastAsia" w:ascii="宋体" w:hAnsi="宋体" w:eastAsia="宋体" w:cs="宋体"/>
          <w:color w:val="000000"/>
          <w:kern w:val="2"/>
          <w:sz w:val="24"/>
          <w:szCs w:val="24"/>
          <w:lang w:val="en-US" w:eastAsia="zh" w:bidi="ar"/>
        </w:rPr>
        <w:t>。</w:t>
      </w:r>
    </w:p>
    <w:p>
      <w:pPr>
        <w:numPr>
          <w:ilvl w:val="0"/>
          <w:numId w:val="44"/>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w:t>
      </w:r>
      <w:r>
        <w:rPr>
          <w:rFonts w:hint="eastAsia" w:ascii="宋体" w:hAnsi="宋体" w:cs="宋体"/>
          <w:bCs/>
          <w:color w:val="000000"/>
          <w:sz w:val="24"/>
          <w:highlight w:val="none"/>
          <w:lang w:eastAsia="zh-CN"/>
        </w:rPr>
        <w:t>赎回或</w:t>
      </w:r>
      <w:r>
        <w:rPr>
          <w:rFonts w:hint="eastAsia" w:ascii="宋体" w:hAnsi="宋体" w:cs="宋体"/>
          <w:bCs/>
          <w:color w:val="000000"/>
          <w:sz w:val="24"/>
          <w:highlight w:val="none"/>
        </w:rPr>
        <w:t>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color w:val="000000"/>
          <w:sz w:val="24"/>
          <w:highlight w:val="none"/>
        </w:rPr>
        <w:t>成立</w:t>
      </w:r>
    </w:p>
    <w:p>
      <w:pPr>
        <w:numPr>
          <w:ilvl w:val="0"/>
          <w:numId w:val="48"/>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8"/>
        </w:numPr>
        <w:spacing w:line="360" w:lineRule="auto"/>
        <w:ind w:firstLine="480" w:firstLineChars="200"/>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申购及赎回</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交易确认及时间</w:t>
      </w:r>
    </w:p>
    <w:p>
      <w:pPr>
        <w:numPr>
          <w:ilvl w:val="0"/>
          <w:numId w:val="50"/>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本理财计划在每个开放期的开放日工作时间可进行申购</w:t>
      </w:r>
      <w:r>
        <w:rPr>
          <w:rFonts w:hint="eastAsia" w:ascii="宋体" w:hAnsi="宋体" w:cs="宋体"/>
          <w:bCs/>
          <w:sz w:val="24"/>
          <w:highlight w:val="none"/>
          <w:lang w:val="en-US" w:eastAsia="zh-CN"/>
        </w:rPr>
        <w:t>和赎回</w:t>
      </w:r>
      <w:r>
        <w:rPr>
          <w:rFonts w:hint="eastAsia" w:ascii="宋体" w:hAnsi="宋体" w:cs="宋体"/>
          <w:bCs/>
          <w:sz w:val="24"/>
          <w:highlight w:val="none"/>
        </w:rPr>
        <w:t>，申购</w:t>
      </w:r>
      <w:r>
        <w:rPr>
          <w:rFonts w:hint="eastAsia" w:ascii="宋体" w:hAnsi="宋体" w:cs="宋体"/>
          <w:bCs/>
          <w:sz w:val="24"/>
          <w:highlight w:val="none"/>
          <w:lang w:val="en-US" w:eastAsia="zh-CN"/>
        </w:rPr>
        <w:t>和赎回</w:t>
      </w:r>
      <w:r>
        <w:rPr>
          <w:rFonts w:hint="eastAsia" w:ascii="宋体" w:hAnsi="宋体" w:cs="宋体"/>
          <w:bCs/>
          <w:sz w:val="24"/>
          <w:highlight w:val="none"/>
        </w:rPr>
        <w:t>申请将在确认日进行确认，即开放期后的第〖</w:t>
      </w:r>
      <w:r>
        <w:rPr>
          <w:rFonts w:hint="eastAsia" w:ascii="宋体" w:hAnsi="宋体" w:cs="宋体"/>
          <w:bCs/>
          <w:color w:val="000000"/>
          <w:sz w:val="24"/>
          <w:highlight w:val="none"/>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〗进行确认。</w:t>
      </w:r>
    </w:p>
    <w:p>
      <w:pPr>
        <w:numPr>
          <w:ilvl w:val="0"/>
          <w:numId w:val="50"/>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〗上午〖</w:t>
      </w:r>
      <w:r>
        <w:rPr>
          <w:rFonts w:hint="eastAsia" w:ascii="宋体" w:hAnsi="宋体" w:cs="宋体"/>
          <w:bCs/>
          <w:color w:val="000000"/>
          <w:sz w:val="24"/>
          <w:highlight w:val="none"/>
        </w:rPr>
        <w:t>9:00</w:t>
      </w:r>
      <w:r>
        <w:rPr>
          <w:rFonts w:hint="eastAsia" w:ascii="宋体" w:hAnsi="宋体" w:cs="宋体"/>
          <w:bCs/>
          <w:sz w:val="24"/>
          <w:highlight w:val="none"/>
        </w:rPr>
        <w:t>〗至下午〖</w:t>
      </w:r>
      <w:r>
        <w:rPr>
          <w:rFonts w:hint="eastAsia" w:ascii="宋体" w:hAnsi="宋体" w:cs="宋体"/>
          <w:bCs/>
          <w:color w:val="000000"/>
          <w:sz w:val="24"/>
          <w:highlight w:val="none"/>
        </w:rPr>
        <w:t>17:00〗</w:t>
      </w:r>
      <w:r>
        <w:rPr>
          <w:rFonts w:hint="eastAsia" w:ascii="宋体" w:hAnsi="宋体" w:cs="宋体"/>
          <w:bCs/>
          <w:sz w:val="24"/>
          <w:highlight w:val="none"/>
        </w:rPr>
        <w:t>。</w:t>
      </w:r>
      <w:r>
        <w:rPr>
          <w:rFonts w:hint="eastAsia" w:ascii="宋体" w:hAnsi="宋体" w:cs="宋体"/>
          <w:color w:val="000000"/>
          <w:kern w:val="0"/>
          <w:sz w:val="24"/>
          <w:szCs w:val="24"/>
          <w:highlight w:val="none"/>
        </w:rPr>
        <w:t>（具体以销售机构规定为准）</w:t>
      </w:r>
    </w:p>
    <w:p>
      <w:pPr>
        <w:numPr>
          <w:ilvl w:val="0"/>
          <w:numId w:val="50"/>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lang w:eastAsia="zh-CN"/>
        </w:rPr>
        <w:t>如新增申</w:t>
      </w:r>
      <w:r>
        <w:rPr>
          <w:rFonts w:hint="eastAsia" w:ascii="宋体" w:hAnsi="宋体" w:cs="宋体"/>
          <w:bCs/>
          <w:color w:val="000000"/>
          <w:sz w:val="24"/>
          <w:highlight w:val="none"/>
          <w:lang w:val="en-US" w:eastAsia="zh-CN"/>
        </w:rPr>
        <w:t>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到账时间</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赎回资金确认后，最快</w:t>
      </w:r>
      <w:r>
        <w:rPr>
          <w:rFonts w:hint="eastAsia" w:ascii="宋体" w:hAnsi="宋体" w:eastAsia="宋体" w:cs="宋体"/>
          <w:bCs/>
          <w:kern w:val="2"/>
          <w:sz w:val="24"/>
          <w:szCs w:val="24"/>
          <w:highlight w:val="none"/>
          <w:lang w:val="en-US" w:eastAsia="zh-CN" w:bidi="ar-SA"/>
        </w:rPr>
        <w:t>〖确认日当日〗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确认日后〖2〗个〖工作日〗内</w:t>
      </w:r>
      <w:r>
        <w:rPr>
          <w:rFonts w:hint="eastAsia" w:ascii="宋体" w:hAnsi="宋体" w:cs="宋体"/>
          <w:bCs/>
          <w:sz w:val="24"/>
          <w:highlight w:val="none"/>
        </w:rPr>
        <w:t>（遇节假日顺延）支付。如遇资金在途或法定工作日调整，实际资金到账日以公告为准。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numPr>
          <w:ilvl w:val="0"/>
          <w:numId w:val="51"/>
        </w:num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巨额赎回认定</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理财计划存续期内，若理财计划开放日净赎回申请份额超过上一日日终理财计划总份额〖</w:t>
      </w:r>
      <w:r>
        <w:rPr>
          <w:rFonts w:hint="eastAsia" w:ascii="宋体" w:hAnsi="宋体" w:cs="宋体"/>
          <w:bCs/>
          <w:color w:val="000000"/>
          <w:sz w:val="24"/>
          <w:highlight w:val="none"/>
        </w:rPr>
        <w:t>10%</w:t>
      </w:r>
      <w:r>
        <w:rPr>
          <w:rFonts w:hint="eastAsia" w:ascii="宋体" w:hAnsi="宋体" w:cs="宋体"/>
          <w:bCs/>
          <w:sz w:val="24"/>
          <w:highlight w:val="none"/>
        </w:rPr>
        <w:t>〗时，即构成巨额赎回。</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巨额赎回处理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当出现巨额赎回时，管理人可以根据资产组合状况决定采取全额赎回或拒绝超出部分的赎回申请。</w:t>
      </w:r>
      <w:r>
        <w:rPr>
          <w:rFonts w:hint="eastAsia" w:ascii="宋体" w:hAnsi="宋体" w:cs="宋体"/>
          <w:bCs/>
          <w:sz w:val="24"/>
          <w:highlight w:val="none"/>
          <w:lang w:val="en-US" w:eastAsia="zh-CN"/>
        </w:rPr>
        <w:t>如连续2日（含）以上开放日发生巨额赎回，对于已经接受的赎回申请，管理人可以延缓支付赎回款项，但延缓期限不得超过20个工作日。</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全部赎回</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当管理人认为全额兑付投资者的赎回申请将不会对本理财计划净值造成较大波动或给本理财计划造成重大损失时，按正常赎回程序执行。</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拒绝超出部分的赎回申请</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highlight w:val="none"/>
        </w:rPr>
        <w:t>10%</w:t>
      </w:r>
      <w:r>
        <w:rPr>
          <w:rFonts w:hint="eastAsia" w:ascii="宋体" w:hAnsi="宋体" w:cs="宋体"/>
          <w:bCs/>
          <w:sz w:val="24"/>
          <w:highlight w:val="none"/>
        </w:rPr>
        <w:t>〗的前提下，对其余赎回申请予以拒绝，但投资者可于下一赎回开放期重新进行赎回申请。</w:t>
      </w:r>
    </w:p>
    <w:p>
      <w:pPr>
        <w:numPr>
          <w:ilvl w:val="0"/>
          <w:numId w:val="51"/>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在</w:t>
      </w:r>
      <w:r>
        <w:rPr>
          <w:rFonts w:hint="eastAsia" w:ascii="宋体" w:hAnsi="宋体" w:cs="宋体"/>
          <w:bCs/>
          <w:sz w:val="24"/>
          <w:highlight w:val="none"/>
        </w:rPr>
        <w:t>理财计划存续期内，管理人有权根据市场情况调整巨额赎回金额比例，并及时进行对外公告。</w:t>
      </w:r>
    </w:p>
    <w:p>
      <w:pPr>
        <w:numPr>
          <w:ilvl w:val="0"/>
          <w:numId w:val="49"/>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暂停申购、赎回及延期支付赎回的情形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发生以下情形，管理人可暂停接受全部或部分投资者的申购申请：</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w:t>
      </w:r>
      <w:r>
        <w:rPr>
          <w:rFonts w:hint="eastAsia" w:ascii="宋体" w:hAnsi="宋体" w:cs="宋体"/>
          <w:bCs/>
          <w:sz w:val="24"/>
          <w:highlight w:val="none"/>
          <w:lang w:val="en-US" w:eastAsia="zh-CN"/>
        </w:rPr>
        <w:t>资产规模过大，继续接受申购可能对理财计划业绩产生负面影响，从而损害现有份额持有人利益的情形时</w:t>
      </w:r>
      <w:r>
        <w:rPr>
          <w:rFonts w:hint="eastAsia" w:ascii="宋体" w:hAnsi="宋体" w:cs="宋体"/>
          <w:bCs/>
          <w:sz w:val="24"/>
          <w:highlight w:val="none"/>
        </w:rPr>
        <w:t>。</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当</w:t>
      </w:r>
      <w:r>
        <w:rPr>
          <w:rFonts w:hint="eastAsia" w:ascii="宋体" w:hAnsi="宋体" w:cs="宋体"/>
          <w:bCs/>
          <w:sz w:val="24"/>
          <w:highlight w:val="none"/>
          <w:lang w:val="en-US" w:eastAsia="zh-CN"/>
        </w:rPr>
        <w:t>管理人认为某笔申购申请会有损于其他份额持有人利益的情形时。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发生产品说明书约定的暂停估值的情形时。</w:t>
      </w:r>
    </w:p>
    <w:p>
      <w:pPr>
        <w:numPr>
          <w:ilvl w:val="0"/>
          <w:numId w:val="52"/>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发生以下情形，对超出前一日终理财产品总份额10%的赎回申请，管理人可暂停接受全部或部分、延期办理投资者的赎回申请：</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理财计划发生巨额赎回情形时。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当继续</w:t>
      </w:r>
      <w:r>
        <w:rPr>
          <w:rFonts w:hint="default" w:ascii="宋体" w:hAnsi="宋体" w:cs="宋体"/>
          <w:bCs/>
          <w:sz w:val="24"/>
          <w:highlight w:val="none"/>
          <w:lang w:val="en-US" w:eastAsia="zh-CN"/>
        </w:rPr>
        <w:t>接受赎回申请将损害存量投资者利益的情形</w:t>
      </w:r>
      <w:r>
        <w:rPr>
          <w:rFonts w:hint="eastAsia" w:ascii="宋体" w:hAnsi="宋体" w:cs="宋体"/>
          <w:bCs/>
          <w:sz w:val="24"/>
          <w:highlight w:val="none"/>
          <w:lang w:val="en-US" w:eastAsia="zh-CN"/>
        </w:rPr>
        <w:t>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w:t>
      </w:r>
      <w:r>
        <w:rPr>
          <w:rFonts w:hint="default" w:ascii="宋体" w:hAnsi="宋体" w:cs="宋体"/>
          <w:bCs/>
          <w:sz w:val="24"/>
          <w:highlight w:val="none"/>
          <w:lang w:val="en-US" w:eastAsia="zh-CN"/>
        </w:rPr>
        <w:t>前一估值日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发生</w:t>
      </w:r>
      <w:r>
        <w:rPr>
          <w:rFonts w:hint="eastAsia" w:ascii="宋体" w:hAnsi="宋体" w:cs="宋体"/>
          <w:bCs/>
          <w:sz w:val="24"/>
          <w:highlight w:val="none"/>
          <w:lang w:eastAsia="zh-CN"/>
        </w:rPr>
        <w:t>产品说明书约定的暂停估值的情形时。</w:t>
      </w:r>
    </w:p>
    <w:p>
      <w:pPr>
        <w:numPr>
          <w:ilvl w:val="0"/>
          <w:numId w:val="53"/>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法律</w:t>
      </w:r>
      <w:r>
        <w:rPr>
          <w:rFonts w:hint="eastAsia" w:ascii="宋体" w:hAnsi="宋体" w:cs="宋体"/>
          <w:bCs/>
          <w:sz w:val="24"/>
          <w:highlight w:val="none"/>
          <w:lang w:val="en-US" w:eastAsia="zh-CN"/>
        </w:rPr>
        <w:t>法规规定或监管机构认定的其他情形。</w:t>
      </w:r>
    </w:p>
    <w:p>
      <w:p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发生以下情形，管理人对已接受的赎回申请，可延期支付赎回款项：</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eastAsia="zh-CN"/>
        </w:rPr>
        <w:t>因</w:t>
      </w:r>
      <w:r>
        <w:rPr>
          <w:rFonts w:hint="eastAsia" w:ascii="宋体" w:hAnsi="宋体" w:cs="宋体"/>
          <w:bCs/>
          <w:sz w:val="24"/>
          <w:highlight w:val="none"/>
          <w:lang w:val="en-US" w:eastAsia="zh-CN"/>
        </w:rPr>
        <w:t>不可抗力等原因，导致管理人接受赎回申请后无法及时兑付的情形时。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连续</w:t>
      </w:r>
      <w:r>
        <w:rPr>
          <w:rFonts w:hint="default" w:ascii="宋体" w:hAnsi="宋体" w:cs="宋体"/>
          <w:bCs/>
          <w:sz w:val="24"/>
          <w:highlight w:val="none"/>
          <w:lang w:val="en-US" w:eastAsia="zh-CN"/>
        </w:rPr>
        <w:t>2</w:t>
      </w:r>
      <w:r>
        <w:rPr>
          <w:rFonts w:hint="eastAsia" w:ascii="宋体" w:hAnsi="宋体" w:cs="宋体"/>
          <w:bCs/>
          <w:sz w:val="24"/>
          <w:highlight w:val="none"/>
          <w:lang w:val="en-US" w:eastAsia="zh-CN"/>
        </w:rPr>
        <w:t>日</w:t>
      </w:r>
      <w:r>
        <w:rPr>
          <w:rFonts w:hint="default" w:ascii="宋体" w:hAnsi="宋体" w:cs="宋体"/>
          <w:bCs/>
          <w:sz w:val="24"/>
          <w:highlight w:val="none"/>
          <w:lang w:val="en-US" w:eastAsia="zh-CN"/>
        </w:rPr>
        <w:t>（含）以上开放日发生巨额赎回的</w:t>
      </w:r>
      <w:r>
        <w:rPr>
          <w:rFonts w:hint="eastAsia" w:ascii="宋体" w:hAnsi="宋体" w:cs="宋体"/>
          <w:bCs/>
          <w:sz w:val="24"/>
          <w:highlight w:val="none"/>
          <w:lang w:val="en-US" w:eastAsia="zh-CN"/>
        </w:rPr>
        <w:t>情形时。</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当前</w:t>
      </w:r>
      <w:r>
        <w:rPr>
          <w:rFonts w:hint="default" w:ascii="宋体" w:hAnsi="宋体" w:cs="宋体"/>
          <w:bCs/>
          <w:sz w:val="24"/>
          <w:highlight w:val="none"/>
          <w:lang w:val="en-US" w:eastAsia="zh-CN"/>
        </w:rPr>
        <w:t>一估值日</w:t>
      </w:r>
      <w:r>
        <w:rPr>
          <w:rFonts w:hint="eastAsia" w:ascii="宋体" w:hAnsi="宋体" w:cs="宋体"/>
          <w:bCs/>
          <w:sz w:val="24"/>
          <w:highlight w:val="none"/>
          <w:lang w:val="en-US" w:eastAsia="zh-CN"/>
        </w:rPr>
        <w:t>理财计划</w:t>
      </w:r>
      <w:r>
        <w:rPr>
          <w:rFonts w:hint="default" w:ascii="宋体" w:hAnsi="宋体" w:cs="宋体"/>
          <w:bCs/>
          <w:sz w:val="24"/>
          <w:highlight w:val="none"/>
          <w:lang w:val="en-US" w:eastAsia="zh-CN"/>
        </w:rPr>
        <w:t>资产净值50%以上的资产不具备活跃交易市场或者在活跃市场中无报价，且不能采用估值技术可靠计量公允价值</w:t>
      </w:r>
      <w:r>
        <w:rPr>
          <w:rFonts w:hint="eastAsia" w:ascii="宋体" w:hAnsi="宋体" w:cs="宋体"/>
          <w:bCs/>
          <w:sz w:val="24"/>
          <w:highlight w:val="none"/>
          <w:lang w:val="en-US" w:eastAsia="zh-CN"/>
        </w:rPr>
        <w:t>的情形</w:t>
      </w:r>
      <w:r>
        <w:rPr>
          <w:rFonts w:hint="default" w:ascii="宋体" w:hAnsi="宋体" w:cs="宋体"/>
          <w:bCs/>
          <w:sz w:val="24"/>
          <w:highlight w:val="none"/>
          <w:lang w:val="en-US" w:eastAsia="zh-CN"/>
        </w:rPr>
        <w:t>时</w:t>
      </w:r>
      <w:r>
        <w:rPr>
          <w:rFonts w:hint="eastAsia" w:ascii="宋体" w:hAnsi="宋体" w:cs="宋体"/>
          <w:bCs/>
          <w:sz w:val="24"/>
          <w:highlight w:val="none"/>
          <w:lang w:val="en-US" w:eastAsia="zh-CN"/>
        </w:rPr>
        <w:t>。</w:t>
      </w:r>
    </w:p>
    <w:p>
      <w:pPr>
        <w:numPr>
          <w:ilvl w:val="0"/>
          <w:numId w:val="5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lang w:val="en-US" w:eastAsia="zh-CN"/>
        </w:rPr>
        <w:t>法律法规规定或监管机构认定的其他情形。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bCs/>
          <w:kern w:val="2"/>
          <w:sz w:val="24"/>
          <w:szCs w:val="24"/>
          <w:highlight w:val="none"/>
          <w:lang w:val="en-US" w:eastAsia="zh-CN" w:bidi="ar-SA"/>
        </w:rPr>
        <w:t>1</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〗、最晚〖</w:t>
      </w:r>
      <w:r>
        <w:rPr>
          <w:rFonts w:hint="eastAsia" w:ascii="宋体" w:hAnsi="宋体" w:eastAsia="宋体" w:cs="宋体"/>
          <w:bCs/>
          <w:kern w:val="2"/>
          <w:sz w:val="24"/>
          <w:szCs w:val="24"/>
          <w:highlight w:val="none"/>
          <w:lang w:val="en-US" w:eastAsia="zh-CN" w:bidi="ar-SA"/>
        </w:rPr>
        <w:t>3</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55"/>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6"/>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56"/>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5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59"/>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6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理财计划净值：管理人应在理财计划成立后，每个开放确认日后</w:t>
      </w:r>
      <w:r>
        <w:rPr>
          <w:rFonts w:hint="eastAsia" w:ascii="宋体" w:hAnsi="宋体" w:cs="宋体"/>
          <w:bCs/>
          <w:color w:val="000000"/>
          <w:sz w:val="24"/>
          <w:highlight w:val="none"/>
          <w:lang w:val="en-US" w:eastAsia="zh-CN"/>
        </w:rPr>
        <w:t>2</w:t>
      </w:r>
      <w:r>
        <w:rPr>
          <w:rFonts w:hint="eastAsia" w:ascii="宋体" w:hAnsi="宋体" w:cs="宋体"/>
          <w:bCs/>
          <w:color w:val="000000"/>
          <w:sz w:val="24"/>
          <w:highlight w:val="none"/>
        </w:rPr>
        <w:t>个工作日内披露本理财计划净值。</w:t>
      </w:r>
      <w:r>
        <w:rPr>
          <w:rFonts w:hint="eastAsia" w:ascii="宋体" w:hAnsi="宋体" w:cs="宋体"/>
          <w:bCs/>
          <w:color w:val="000000"/>
          <w:sz w:val="24"/>
          <w:highlight w:val="none"/>
          <w:lang w:eastAsia="zh"/>
        </w:rPr>
        <w:t>公募开放式产品至少每周披露净值。</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6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58"/>
        </w:num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6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lang w:eastAsia="zh-CN"/>
        </w:rPr>
        <w:t>应在发生可能对理财计划投资者或者理财计划收益产</w:t>
      </w:r>
      <w:r>
        <w:rPr>
          <w:rFonts w:hint="eastAsia" w:ascii="宋体" w:hAnsi="宋体" w:cs="宋体"/>
          <w:bCs/>
          <w:color w:val="000000"/>
          <w:sz w:val="24"/>
          <w:highlight w:val="none"/>
        </w:rPr>
        <w:t>生重大事项的事件后2个工作日内发布重大事项公告。</w:t>
      </w:r>
    </w:p>
    <w:p>
      <w:pPr>
        <w:numPr>
          <w:ilvl w:val="0"/>
          <w:numId w:val="6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57"/>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9"/>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62"/>
        </w:numPr>
        <w:spacing w:line="360" w:lineRule="auto"/>
        <w:ind w:firstLine="482" w:firstLineChars="200"/>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
          <w:bCs/>
          <w:color w:val="000000"/>
          <w:sz w:val="44"/>
          <w:szCs w:val="4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3"/>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4"/>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6"/>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8"/>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0"/>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1"/>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2"/>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3"/>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4"/>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4"/>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5"/>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6"/>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2"/>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2"/>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79"/>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79"/>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0"/>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879860"/>
    <w:multiLevelType w:val="singleLevel"/>
    <w:tmpl w:val="81879860"/>
    <w:lvl w:ilvl="0" w:tentative="0">
      <w:start w:val="8"/>
      <w:numFmt w:val="decimal"/>
      <w:suff w:val="nothing"/>
      <w:lvlText w:val="%1．"/>
      <w:lvlJc w:val="left"/>
      <w:pPr>
        <w:ind w:left="0" w:firstLine="403"/>
      </w:pPr>
      <w:rPr>
        <w:rFonts w:hint="default"/>
      </w:rPr>
    </w:lvl>
  </w:abstractNum>
  <w:abstractNum w:abstractNumId="1">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4">
    <w:nsid w:val="8906C252"/>
    <w:multiLevelType w:val="singleLevel"/>
    <w:tmpl w:val="8906C252"/>
    <w:lvl w:ilvl="0" w:tentative="0">
      <w:start w:val="1"/>
      <w:numFmt w:val="decimal"/>
      <w:suff w:val="nothing"/>
      <w:lvlText w:val="（%1）"/>
      <w:lvlJc w:val="left"/>
      <w:rPr>
        <w:rFonts w:hint="default"/>
        <w:b w:val="0"/>
        <w:bCs w:val="0"/>
      </w:rPr>
    </w:lvl>
  </w:abstractNum>
  <w:abstractNum w:abstractNumId="5">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2">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3">
    <w:nsid w:val="D8D75090"/>
    <w:multiLevelType w:val="singleLevel"/>
    <w:tmpl w:val="D8D75090"/>
    <w:lvl w:ilvl="0" w:tentative="0">
      <w:start w:val="1"/>
      <w:numFmt w:val="decimal"/>
      <w:suff w:val="nothing"/>
      <w:lvlText w:val="（%1）"/>
      <w:lvlJc w:val="left"/>
      <w:rPr>
        <w:rFonts w:hint="default"/>
        <w:b w:val="0"/>
        <w:bCs w:val="0"/>
      </w:rPr>
    </w:lvl>
  </w:abstractNum>
  <w:abstractNum w:abstractNumId="24">
    <w:nsid w:val="DD2251DF"/>
    <w:multiLevelType w:val="singleLevel"/>
    <w:tmpl w:val="DD2251DF"/>
    <w:lvl w:ilvl="0" w:tentative="0">
      <w:start w:val="1"/>
      <w:numFmt w:val="decimal"/>
      <w:suff w:val="nothing"/>
      <w:lvlText w:val="（%1）"/>
      <w:lvlJc w:val="left"/>
      <w:rPr>
        <w:rFonts w:hint="default"/>
        <w:b w:val="0"/>
        <w:bCs w:val="0"/>
      </w:rPr>
    </w:lvl>
  </w:abstractNum>
  <w:abstractNum w:abstractNumId="25">
    <w:nsid w:val="E20DF07A"/>
    <w:multiLevelType w:val="singleLevel"/>
    <w:tmpl w:val="E20DF07A"/>
    <w:lvl w:ilvl="0" w:tentative="0">
      <w:start w:val="1"/>
      <w:numFmt w:val="chineseCounting"/>
      <w:suff w:val="nothing"/>
      <w:lvlText w:val="（%1）"/>
      <w:lvlJc w:val="left"/>
      <w:pPr>
        <w:ind w:left="0" w:firstLine="420"/>
      </w:pPr>
      <w:rPr>
        <w:rFonts w:hint="eastAsia"/>
        <w:b/>
        <w:bCs/>
      </w:rPr>
    </w:lvl>
  </w:abstractNum>
  <w:abstractNum w:abstractNumId="26">
    <w:nsid w:val="E70DF796"/>
    <w:multiLevelType w:val="singleLevel"/>
    <w:tmpl w:val="E70DF796"/>
    <w:lvl w:ilvl="0" w:tentative="0">
      <w:start w:val="1"/>
      <w:numFmt w:val="decimal"/>
      <w:suff w:val="nothing"/>
      <w:lvlText w:val="（%1）"/>
      <w:lvlJc w:val="left"/>
    </w:lvl>
  </w:abstractNum>
  <w:abstractNum w:abstractNumId="27">
    <w:nsid w:val="EED9DB58"/>
    <w:multiLevelType w:val="multilevel"/>
    <w:tmpl w:val="EED9DB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8">
    <w:nsid w:val="EFF37F09"/>
    <w:multiLevelType w:val="singleLevel"/>
    <w:tmpl w:val="EFF37F09"/>
    <w:lvl w:ilvl="0" w:tentative="0">
      <w:start w:val="1"/>
      <w:numFmt w:val="decimal"/>
      <w:suff w:val="nothing"/>
      <w:lvlText w:val="（%1）"/>
      <w:lvlJc w:val="left"/>
      <w:rPr>
        <w:rFonts w:hint="default"/>
        <w:b w:val="0"/>
        <w:bCs w:val="0"/>
      </w:rPr>
    </w:lvl>
  </w:abstractNum>
  <w:abstractNum w:abstractNumId="29">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0">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1">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2">
    <w:nsid w:val="F574F5B6"/>
    <w:multiLevelType w:val="singleLevel"/>
    <w:tmpl w:val="F574F5B6"/>
    <w:lvl w:ilvl="0" w:tentative="0">
      <w:start w:val="1"/>
      <w:numFmt w:val="decimal"/>
      <w:suff w:val="nothing"/>
      <w:lvlText w:val="（%1）"/>
      <w:lvlJc w:val="left"/>
    </w:lvl>
  </w:abstractNum>
  <w:abstractNum w:abstractNumId="33">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4">
    <w:nsid w:val="FBBA18C3"/>
    <w:multiLevelType w:val="singleLevel"/>
    <w:tmpl w:val="FBBA18C3"/>
    <w:lvl w:ilvl="0" w:tentative="0">
      <w:start w:val="1"/>
      <w:numFmt w:val="decimal"/>
      <w:lvlText w:val="%1."/>
      <w:lvlJc w:val="left"/>
      <w:pPr>
        <w:tabs>
          <w:tab w:val="left" w:pos="312"/>
        </w:tabs>
      </w:pPr>
      <w:rPr>
        <w:rFonts w:hint="default"/>
        <w:b w:val="0"/>
        <w:bCs w:val="0"/>
        <w:highlight w:val="none"/>
      </w:rPr>
    </w:lvl>
  </w:abstractNum>
  <w:abstractNum w:abstractNumId="35">
    <w:nsid w:val="FEDAA435"/>
    <w:multiLevelType w:val="multilevel"/>
    <w:tmpl w:val="FEDAA435"/>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7">
    <w:nsid w:val="084A6179"/>
    <w:multiLevelType w:val="singleLevel"/>
    <w:tmpl w:val="084A6179"/>
    <w:lvl w:ilvl="0" w:tentative="0">
      <w:start w:val="1"/>
      <w:numFmt w:val="decimal"/>
      <w:suff w:val="nothing"/>
      <w:lvlText w:val="（%1）"/>
      <w:lvlJc w:val="left"/>
      <w:rPr>
        <w:rFonts w:hint="default"/>
        <w:highlight w:val="none"/>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1">
    <w:nsid w:val="167B0BB4"/>
    <w:multiLevelType w:val="singleLevel"/>
    <w:tmpl w:val="167B0BB4"/>
    <w:lvl w:ilvl="0" w:tentative="0">
      <w:start w:val="1"/>
      <w:numFmt w:val="decimal"/>
      <w:suff w:val="nothing"/>
      <w:lvlText w:val="（%1）"/>
      <w:lvlJc w:val="left"/>
    </w:lvl>
  </w:abstractNum>
  <w:abstractNum w:abstractNumId="42">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4">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5">
    <w:nsid w:val="2A987C4E"/>
    <w:multiLevelType w:val="singleLevel"/>
    <w:tmpl w:val="2A987C4E"/>
    <w:lvl w:ilvl="0" w:tentative="0">
      <w:start w:val="5"/>
      <w:numFmt w:val="decimal"/>
      <w:suff w:val="nothing"/>
      <w:lvlText w:val="%1．"/>
      <w:lvlJc w:val="left"/>
      <w:pPr>
        <w:ind w:left="0" w:firstLine="403"/>
      </w:pPr>
      <w:rPr>
        <w:rFonts w:hint="default"/>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9">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0">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1">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2">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3">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4">
    <w:nsid w:val="4A032168"/>
    <w:multiLevelType w:val="singleLevel"/>
    <w:tmpl w:val="4A032168"/>
    <w:lvl w:ilvl="0" w:tentative="0">
      <w:start w:val="4"/>
      <w:numFmt w:val="decimal"/>
      <w:suff w:val="nothing"/>
      <w:lvlText w:val="%1．"/>
      <w:lvlJc w:val="left"/>
      <w:pPr>
        <w:ind w:left="0" w:firstLine="403"/>
      </w:pPr>
      <w:rPr>
        <w:rFonts w:hint="default"/>
        <w:highlight w:val="none"/>
      </w:rPr>
    </w:lvl>
  </w:abstractNum>
  <w:abstractNum w:abstractNumId="5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9">
    <w:nsid w:val="5BA91325"/>
    <w:multiLevelType w:val="singleLevel"/>
    <w:tmpl w:val="5BA91325"/>
    <w:lvl w:ilvl="0" w:tentative="0">
      <w:start w:val="1"/>
      <w:numFmt w:val="decimal"/>
      <w:suff w:val="nothing"/>
      <w:lvlText w:val="（%1）"/>
      <w:lvlJc w:val="left"/>
    </w:lvl>
  </w:abstractNum>
  <w:abstractNum w:abstractNumId="6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6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6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7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7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0">
    <w:nsid w:val="61F30F62"/>
    <w:multiLevelType w:val="singleLevel"/>
    <w:tmpl w:val="61F30F62"/>
    <w:lvl w:ilvl="0" w:tentative="0">
      <w:start w:val="1"/>
      <w:numFmt w:val="decimal"/>
      <w:suff w:val="nothing"/>
      <w:lvlText w:val="（%1）"/>
      <w:lvlJc w:val="left"/>
      <w:rPr>
        <w:rFonts w:hint="default"/>
        <w:b w:val="0"/>
        <w:bCs w:val="0"/>
      </w:rPr>
    </w:lvl>
  </w:abstractNum>
  <w:abstractNum w:abstractNumId="81">
    <w:nsid w:val="69C07A9C"/>
    <w:multiLevelType w:val="singleLevel"/>
    <w:tmpl w:val="69C07A9C"/>
    <w:lvl w:ilvl="0" w:tentative="0">
      <w:start w:val="1"/>
      <w:numFmt w:val="lowerLetter"/>
      <w:suff w:val="space"/>
      <w:lvlText w:val="%1."/>
      <w:lvlJc w:val="left"/>
    </w:lvl>
  </w:abstractNum>
  <w:abstractNum w:abstractNumId="82">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3">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4">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1"/>
  </w:num>
  <w:num w:numId="3">
    <w:abstractNumId w:val="51"/>
  </w:num>
  <w:num w:numId="4">
    <w:abstractNumId w:val="43"/>
  </w:num>
  <w:num w:numId="5">
    <w:abstractNumId w:val="35"/>
  </w:num>
  <w:num w:numId="6">
    <w:abstractNumId w:val="83"/>
  </w:num>
  <w:num w:numId="7">
    <w:abstractNumId w:val="38"/>
  </w:num>
  <w:num w:numId="8">
    <w:abstractNumId w:val="84"/>
  </w:num>
  <w:num w:numId="9">
    <w:abstractNumId w:val="57"/>
  </w:num>
  <w:num w:numId="10">
    <w:abstractNumId w:val="53"/>
  </w:num>
  <w:num w:numId="11">
    <w:abstractNumId w:val="33"/>
  </w:num>
  <w:num w:numId="12">
    <w:abstractNumId w:val="30"/>
  </w:num>
  <w:num w:numId="13">
    <w:abstractNumId w:val="39"/>
  </w:num>
  <w:num w:numId="14">
    <w:abstractNumId w:val="29"/>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34"/>
  </w:num>
  <w:num w:numId="22">
    <w:abstractNumId w:val="52"/>
  </w:num>
  <w:num w:numId="23">
    <w:abstractNumId w:val="32"/>
  </w:num>
  <w:num w:numId="24">
    <w:abstractNumId w:val="54"/>
  </w:num>
  <w:num w:numId="25">
    <w:abstractNumId w:val="59"/>
  </w:num>
  <w:num w:numId="26">
    <w:abstractNumId w:val="81"/>
  </w:num>
  <w:num w:numId="27">
    <w:abstractNumId w:val="45"/>
  </w:num>
  <w:num w:numId="28">
    <w:abstractNumId w:val="19"/>
  </w:num>
  <w:num w:numId="29">
    <w:abstractNumId w:val="44"/>
  </w:num>
  <w:num w:numId="30">
    <w:abstractNumId w:val="22"/>
  </w:num>
  <w:num w:numId="31">
    <w:abstractNumId w:val="6"/>
  </w:num>
  <w:num w:numId="32">
    <w:abstractNumId w:val="56"/>
  </w:num>
  <w:num w:numId="33">
    <w:abstractNumId w:val="5"/>
  </w:num>
  <w:num w:numId="34">
    <w:abstractNumId w:val="37"/>
  </w:num>
  <w:num w:numId="35">
    <w:abstractNumId w:val="42"/>
  </w:num>
  <w:num w:numId="36">
    <w:abstractNumId w:val="82"/>
  </w:num>
  <w:num w:numId="37">
    <w:abstractNumId w:val="36"/>
  </w:num>
  <w:num w:numId="38">
    <w:abstractNumId w:val="21"/>
  </w:num>
  <w:num w:numId="39">
    <w:abstractNumId w:val="47"/>
  </w:num>
  <w:num w:numId="40">
    <w:abstractNumId w:val="0"/>
  </w:num>
  <w:num w:numId="41">
    <w:abstractNumId w:val="24"/>
  </w:num>
  <w:num w:numId="42">
    <w:abstractNumId w:val="50"/>
  </w:num>
  <w:num w:numId="43">
    <w:abstractNumId w:val="3"/>
  </w:num>
  <w:num w:numId="44">
    <w:abstractNumId w:val="25"/>
  </w:num>
  <w:num w:numId="45">
    <w:abstractNumId w:val="27"/>
  </w:num>
  <w:num w:numId="46">
    <w:abstractNumId w:val="55"/>
  </w:num>
  <w:num w:numId="47">
    <w:abstractNumId w:val="40"/>
  </w:num>
  <w:num w:numId="48">
    <w:abstractNumId w:val="18"/>
  </w:num>
  <w:num w:numId="49">
    <w:abstractNumId w:val="31"/>
  </w:num>
  <w:num w:numId="50">
    <w:abstractNumId w:val="26"/>
  </w:num>
  <w:num w:numId="51">
    <w:abstractNumId w:val="28"/>
  </w:num>
  <w:num w:numId="52">
    <w:abstractNumId w:val="80"/>
  </w:num>
  <w:num w:numId="53">
    <w:abstractNumId w:val="46"/>
  </w:num>
  <w:num w:numId="54">
    <w:abstractNumId w:val="2"/>
  </w:num>
  <w:num w:numId="55">
    <w:abstractNumId w:val="58"/>
  </w:num>
  <w:num w:numId="56">
    <w:abstractNumId w:val="12"/>
  </w:num>
  <w:num w:numId="57">
    <w:abstractNumId w:val="10"/>
  </w:num>
  <w:num w:numId="58">
    <w:abstractNumId w:val="13"/>
  </w:num>
  <w:num w:numId="59">
    <w:abstractNumId w:val="41"/>
  </w:num>
  <w:num w:numId="60">
    <w:abstractNumId w:val="23"/>
  </w:num>
  <w:num w:numId="61">
    <w:abstractNumId w:val="4"/>
  </w:num>
  <w:num w:numId="62">
    <w:abstractNumId w:val="49"/>
  </w:num>
  <w:num w:numId="63">
    <w:abstractNumId w:val="67"/>
  </w:num>
  <w:num w:numId="64">
    <w:abstractNumId w:val="66"/>
  </w:num>
  <w:num w:numId="65">
    <w:abstractNumId w:val="68"/>
  </w:num>
  <w:num w:numId="66">
    <w:abstractNumId w:val="69"/>
  </w:num>
  <w:num w:numId="67">
    <w:abstractNumId w:val="70"/>
  </w:num>
  <w:num w:numId="68">
    <w:abstractNumId w:val="71"/>
  </w:num>
  <w:num w:numId="69">
    <w:abstractNumId w:val="72"/>
  </w:num>
  <w:num w:numId="70">
    <w:abstractNumId w:val="73"/>
  </w:num>
  <w:num w:numId="71">
    <w:abstractNumId w:val="48"/>
  </w:num>
  <w:num w:numId="72">
    <w:abstractNumId w:val="16"/>
  </w:num>
  <w:num w:numId="73">
    <w:abstractNumId w:val="60"/>
  </w:num>
  <w:num w:numId="74">
    <w:abstractNumId w:val="61"/>
  </w:num>
  <w:num w:numId="75">
    <w:abstractNumId w:val="62"/>
  </w:num>
  <w:num w:numId="76">
    <w:abstractNumId w:val="63"/>
  </w:num>
  <w:num w:numId="77">
    <w:abstractNumId w:val="64"/>
  </w:num>
  <w:num w:numId="78">
    <w:abstractNumId w:val="65"/>
  </w:num>
  <w:num w:numId="79">
    <w:abstractNumId w:val="74"/>
  </w:num>
  <w:num w:numId="80">
    <w:abstractNumId w:val="75"/>
  </w:num>
  <w:num w:numId="81">
    <w:abstractNumId w:val="15"/>
  </w:num>
  <w:num w:numId="82">
    <w:abstractNumId w:val="76"/>
  </w:num>
  <w:num w:numId="83">
    <w:abstractNumId w:val="77"/>
  </w:num>
  <w:num w:numId="84">
    <w:abstractNumId w:val="78"/>
  </w:num>
  <w:num w:numId="85">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6D2F4F"/>
    <w:rsid w:val="0FFB8BAD"/>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DEE92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874061"/>
    <w:rsid w:val="2BD054E2"/>
    <w:rsid w:val="2D3FA85E"/>
    <w:rsid w:val="2E16D82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7F449A0"/>
    <w:rsid w:val="3B1C12F3"/>
    <w:rsid w:val="3BD53B5C"/>
    <w:rsid w:val="3CC57F13"/>
    <w:rsid w:val="3D4C282D"/>
    <w:rsid w:val="3D970F4E"/>
    <w:rsid w:val="3DE106C6"/>
    <w:rsid w:val="3E540971"/>
    <w:rsid w:val="3E786275"/>
    <w:rsid w:val="3E931F0D"/>
    <w:rsid w:val="3F7E2660"/>
    <w:rsid w:val="3FA31FDD"/>
    <w:rsid w:val="3FFA261A"/>
    <w:rsid w:val="40A430BB"/>
    <w:rsid w:val="40E135DA"/>
    <w:rsid w:val="40FB25F3"/>
    <w:rsid w:val="41F528C8"/>
    <w:rsid w:val="427C1487"/>
    <w:rsid w:val="42FA026B"/>
    <w:rsid w:val="43C800C0"/>
    <w:rsid w:val="444440BE"/>
    <w:rsid w:val="44AC49CD"/>
    <w:rsid w:val="44B91F56"/>
    <w:rsid w:val="46184F00"/>
    <w:rsid w:val="466F6F60"/>
    <w:rsid w:val="469A6DC5"/>
    <w:rsid w:val="46A726DE"/>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4D66C67"/>
    <w:rsid w:val="568633C7"/>
    <w:rsid w:val="57061882"/>
    <w:rsid w:val="57280BF2"/>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99E5049"/>
    <w:rsid w:val="6BDE71F2"/>
    <w:rsid w:val="6C9577EB"/>
    <w:rsid w:val="6CBA3A99"/>
    <w:rsid w:val="6D3A1203"/>
    <w:rsid w:val="6D7F6733"/>
    <w:rsid w:val="6E9C369D"/>
    <w:rsid w:val="6EF41B11"/>
    <w:rsid w:val="6FB17196"/>
    <w:rsid w:val="702573F3"/>
    <w:rsid w:val="706E8E93"/>
    <w:rsid w:val="70B57531"/>
    <w:rsid w:val="70FA499F"/>
    <w:rsid w:val="713B571A"/>
    <w:rsid w:val="730C182D"/>
    <w:rsid w:val="737FFDFA"/>
    <w:rsid w:val="73FC9A3F"/>
    <w:rsid w:val="751974A1"/>
    <w:rsid w:val="758B30E4"/>
    <w:rsid w:val="75F42331"/>
    <w:rsid w:val="761F7C3C"/>
    <w:rsid w:val="76683D2A"/>
    <w:rsid w:val="76C62D9E"/>
    <w:rsid w:val="779F8057"/>
    <w:rsid w:val="78244617"/>
    <w:rsid w:val="7A923507"/>
    <w:rsid w:val="7ACB640D"/>
    <w:rsid w:val="7BFF1A29"/>
    <w:rsid w:val="7C044D89"/>
    <w:rsid w:val="7C63442B"/>
    <w:rsid w:val="7C7C3745"/>
    <w:rsid w:val="7D3AA22F"/>
    <w:rsid w:val="7D546952"/>
    <w:rsid w:val="7D56646C"/>
    <w:rsid w:val="7DE35ECA"/>
    <w:rsid w:val="7DEFCC9B"/>
    <w:rsid w:val="7E1A0C5A"/>
    <w:rsid w:val="7E3212D3"/>
    <w:rsid w:val="7F365A97"/>
    <w:rsid w:val="7F5F887D"/>
    <w:rsid w:val="7FCC7D05"/>
    <w:rsid w:val="7FEF42B8"/>
    <w:rsid w:val="7FFF0B3B"/>
    <w:rsid w:val="9FD01BC3"/>
    <w:rsid w:val="AF77296E"/>
    <w:rsid w:val="B3FE25BF"/>
    <w:rsid w:val="BE6E0F8F"/>
    <w:rsid w:val="C38B20D8"/>
    <w:rsid w:val="C679D4D5"/>
    <w:rsid w:val="CA7F3105"/>
    <w:rsid w:val="D3FFF2E3"/>
    <w:rsid w:val="D4B948F0"/>
    <w:rsid w:val="D4F43AA8"/>
    <w:rsid w:val="D7BE90C3"/>
    <w:rsid w:val="D8BF47B9"/>
    <w:rsid w:val="DB7AB19E"/>
    <w:rsid w:val="DDFE51CF"/>
    <w:rsid w:val="E97E32AA"/>
    <w:rsid w:val="F3C7F184"/>
    <w:rsid w:val="F3F331A4"/>
    <w:rsid w:val="F3FE7E0E"/>
    <w:rsid w:val="F3FF81F7"/>
    <w:rsid w:val="F7FE62B6"/>
    <w:rsid w:val="FA543BA3"/>
    <w:rsid w:val="FB3B5DB3"/>
    <w:rsid w:val="FBFDB4E3"/>
    <w:rsid w:val="FD7F9463"/>
    <w:rsid w:val="FDE526B2"/>
    <w:rsid w:val="FDFC361F"/>
    <w:rsid w:val="FDFD5128"/>
    <w:rsid w:val="FE8FD80F"/>
    <w:rsid w:val="FEAED78B"/>
    <w:rsid w:val="FF4BD653"/>
    <w:rsid w:val="FF6C6882"/>
    <w:rsid w:val="FFFEC61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5"/>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6"/>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5">
    <w:name w:val="标题 2 Char"/>
    <w:link w:val="3"/>
    <w:qFormat/>
    <w:uiPriority w:val="0"/>
    <w:rPr>
      <w:rFonts w:ascii="Arial" w:hAnsi="Arial" w:eastAsia="宋体"/>
      <w:b/>
      <w:sz w:val="24"/>
    </w:rPr>
  </w:style>
  <w:style w:type="character" w:customStyle="1" w:styleId="26">
    <w:name w:val="标题 3 Char"/>
    <w:link w:val="4"/>
    <w:qFormat/>
    <w:uiPriority w:val="0"/>
    <w:rPr>
      <w:rFonts w:hAnsi="Calibri" w:eastAsia="宋体"/>
      <w:b/>
      <w:sz w:val="24"/>
    </w:rPr>
  </w:style>
  <w:style w:type="character" w:customStyle="1" w:styleId="27">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38428</Words>
  <Characters>40843</Characters>
  <Lines>1</Lines>
  <Paragraphs>1</Paragraphs>
  <TotalTime>0</TotalTime>
  <ScaleCrop>false</ScaleCrop>
  <LinksUpToDate>false</LinksUpToDate>
  <CharactersWithSpaces>41184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2025-09-29T06:49:46Z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