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宋体"/>
          <w:highlight w:val="none"/>
          <w:lang w:val="en-US" w:eastAsia="zh-CN"/>
        </w:rPr>
      </w:pPr>
      <w:r>
        <w:rPr>
          <w:rFonts w:hint="eastAsia"/>
          <w:highlight w:val="none"/>
          <w:lang w:val="en-US" w:eastAsia="zh-CN"/>
        </w:rPr>
        <w:t xml:space="preserve"> </w:t>
      </w: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杭银理财幸福99半年添益2017期理财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杭银理财幸福99半年添益2017期理财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杭银理财幸福99半年添益2017期理财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杭银理财幸福99半年添益2017期理财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杭银理财幸福99半年添益2017期理财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20"/>
        <w:pageBreakBefore/>
        <w:widowControl w:val="0"/>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杭银理财幸福99半年添益2017期理财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Z7002221000182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杭银理财幸福99半年添益2017期理财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杭银理财幸福99半年添益2017期理财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杭银理财幸福99半年添益2017期理财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杭银理财幸福99半年添益2017期理财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杭银理财幸福99半年添益2017期理财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杭银理财幸福99半年添益2017期理财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杭银理财幸福99半年添益2017期理财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半年添益2017期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TYG6M2017</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Z7002221000182</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A份额（销售代码〖TYG6M2017〗）：普通个人投资者和机构客户。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B份额（销售代码〖TYG6M2017B〗）：特定客群专属。</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H份额（销售代码〖TYG6M2017H〗）：普通个人投资者和机构客户。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W份额（销售代码〖TYG6M2017W〗）：面向〖普通个人投资者和机构客户〗发售。</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ZA份额（自动赎回）（销售代码〖TYG6M2017ZA〗）：普通个人投资者和机构客户。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ZM份额（销售名称：杭银理财幸福99半年添益2017期理财ZM款自动赎回（天府·优选））（销售代码〖TYG6M2017ZM〗）：普通个人投资者和机构客户。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27</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〖H份额〗起点〖1〗元整，超过认购/申购起点部分，应为〖1〗元的整数倍。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〖W份额〗起点〖1〗元整，超过认购/申购起点部分，应为〖1〗元的整数倍。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〖ZM份额〗起点〖1〗元整，超过认购/申购起点部分，应为〖1〗元的整数倍。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每半年</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bCs/>
                <w:color w:val="000000"/>
                <w:sz w:val="21"/>
                <w:szCs w:val="21"/>
                <w:highlight w:val="none"/>
                <w:lang w:eastAsia="zh"/>
              </w:rPr>
              <w:t>，</w:t>
            </w:r>
            <w:r>
              <w:rPr>
                <w:rFonts w:hint="eastAsia" w:ascii="宋体" w:hAnsi="宋体" w:eastAsia="宋体" w:cs="宋体"/>
                <w:kern w:val="2"/>
                <w:sz w:val="21"/>
                <w:szCs w:val="21"/>
                <w:lang w:val="en-US" w:eastAsia="zh-CN" w:bidi="ar"/>
              </w:rPr>
              <w:t>（ZA、ZM份</w:t>
            </w:r>
            <w:r>
              <w:rPr>
                <w:rFonts w:hint="eastAsia" w:ascii="宋体" w:hAnsi="宋体" w:cs="宋体"/>
                <w:kern w:val="2"/>
                <w:sz w:val="21"/>
                <w:szCs w:val="21"/>
                <w:lang w:val="en-US" w:eastAsia="zh" w:bidi="ar"/>
              </w:rPr>
              <w:t>额无</w:t>
            </w:r>
            <w:r>
              <w:rPr>
                <w:rFonts w:hint="eastAsia" w:ascii="宋体" w:hAnsi="宋体" w:eastAsia="宋体" w:cs="宋体"/>
                <w:kern w:val="2"/>
                <w:sz w:val="21"/>
                <w:szCs w:val="21"/>
                <w:lang w:val="en-US" w:eastAsia="zh-CN" w:bidi="ar"/>
              </w:rPr>
              <w:t>需进行赎回申请，在每个投资周期结束日由系统自动为所有持仓投资者发起全部持有份额赎回申请，上一投资周期投资者的所有持仓份额不会进入下一个投资周期）</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color w:val="000000"/>
                <w:lang w:eastAsia="zh"/>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〖H份额〗单户持有上限为〖1〗亿元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〖W份额〗单户持有上限为〖1〗亿元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〖ZM份额〗单户持有上限为〖1〗亿元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本理财计划〖H份额〗业绩比较基准为〖中国人民银行公布的1年期定期存款利率+0.1%〗（年化）。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本理财计划〖W份额〗业绩比较基准为〖中国人民银行公布的1年期定期存款利率+0.1%〗（年化）。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本理财计划〖ZM份额〗业绩比较基准为〖中国人民银行公布的1年期定期存款利率+0.1%〗（年化）。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〖H份额〗收取年化〖0.30%〗的销售服务费, 〖W份额〗收取年化〖0.40%〗的销售服务费, 〖ZA份额〗收取年化〖0.30%〗的销售服务费, 〖ZM份额〗收取年化〖0.30%〗的销售服务费。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〖H份额〗收取年化〖0.05%〗的固定管理费, 〖W份额〗收取年化〖0.20%〗的固定管理费, 〖ZA份额〗收取年化〖0.30%〗的固定管理费, 〖ZM份额〗收取年化〖0.30%〗的固定管理费。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B、H份额）投资周期的折合年化收益率超过〖2.35%〗的部分，管理人提取〖50%〗作为浮动管理费；〖B份额〗投资周期的折合年化收益率超过〖2.45%〗的部分，管理人提取〖50%〗作为浮动管理费；〖H份额〗投资周期的折合年化收益率超过〖2.60%〗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auto"/>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r>
        <w:rPr>
          <w:rFonts w:hint="eastAsia" w:ascii="宋体" w:hAnsi="宋体" w:cs="宋体"/>
          <w:bCs/>
          <w:color w:val="000000"/>
          <w:sz w:val="24"/>
          <w:highlight w:val="none"/>
        </w:rPr>
        <w:t>。</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9"/>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11"/>
        <w:tblW w:w="8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11"/>
        <w:tblW w:w="830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8"/>
        <w:gridCol w:w="1688"/>
        <w:gridCol w:w="1325"/>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销售机构信息</w:t>
            </w:r>
          </w:p>
        </w:tc>
        <w:tc>
          <w:tcPr>
            <w:tcW w:w="1688"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兴业银行股份有限公司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厦门国际银行股份有限公司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富邦华一银行有限公司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宁波鄞州农村商业银行股份有限公司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深圳前海微众银行股份有限公司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吉林亿联银行股份有限公司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重庆富民银行股份有限公司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中信百信银行股份有限公司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江苏苏商银行股份有限公司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aps w:val="0"/>
                <w:spacing w:val="0"/>
                <w:kern w:val="2"/>
                <w:sz w:val="21"/>
                <w:szCs w:val="21"/>
                <w:lang w:val="en-US" w:eastAsia="zh-CN" w:bidi="ar"/>
              </w:rPr>
              <w:t>956101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石嘴山银行股份有限公司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广东南粤银行股份有限公司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澳门国际银行股份有限公司广州分行</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江苏常熟农村商业银行股份有限公司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九江银行股份有限公司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浙江舟山定海海洋农村商业银行股份有限公司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浙江临安农村商业银行股份有限公司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浙江青田农村商业银行股份有限公司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南洋商业银行（中国）有限公司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浙江新昌农村商业银行股份有限公司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浙江永康农村商业银行股份有限公司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浙江衢州衢江农村商业银行股份有限公司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新韩银行（中国）有限公司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潍坊银行股份有限公司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浙江江山农村商业银行股份有限公司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浙江常山农村商业银行股份有限公司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浙江武义农村商业银行股份有限公司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汉口银行股份有限公司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浙江网商银行股份有限公司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浙江省杭州市西湖区古荡街道西溪路556号阿里中心D幢9层、E幢3-8层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0571-26888888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销售机构职责</w:t>
            </w:r>
          </w:p>
        </w:tc>
        <w:tc>
          <w:tcPr>
            <w:tcW w:w="688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以</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eastAsia="宋体" w:cs="宋体"/>
          <w:bCs/>
          <w:color w:val="000000"/>
          <w:sz w:val="24"/>
          <w:szCs w:val="24"/>
          <w:highlight w:val="none"/>
          <w:lang w:val="en-US" w:eastAsia="zh-CN"/>
        </w:rPr>
        <w:t>份额</w:t>
      </w:r>
      <w:r>
        <w:rPr>
          <w:rFonts w:hint="eastAsia" w:ascii="宋体" w:hAnsi="宋体" w:eastAsia="宋体" w:cs="宋体"/>
          <w:bCs/>
          <w:color w:val="000000"/>
          <w:sz w:val="24"/>
          <w:szCs w:val="24"/>
          <w:highlight w:val="none"/>
        </w:rPr>
        <w:t>〗为例</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理财计划财产的年化固定管理费率为</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H为每日应计提的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E为本理财计划前一日资产净值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kern w:val="2"/>
          <w:sz w:val="24"/>
          <w:szCs w:val="24"/>
          <w:lang w:val="en-US" w:eastAsia="zh-CN" w:bidi="ar"/>
        </w:rPr>
        <w:t>若本理财计划份额每个周期结束日的折合年化收益率不达当期该份额业绩比较基准下限，则管理人以当期全部固定管理费为上限，减免全部或部分固定管理费用</w:t>
      </w:r>
      <w:r>
        <w:rPr>
          <w:rFonts w:hint="eastAsia" w:ascii="宋体" w:hAnsi="宋体" w:eastAsia="宋体" w:cs="宋体"/>
          <w:bCs/>
          <w:color w:val="000000"/>
          <w:sz w:val="24"/>
          <w:szCs w:val="24"/>
          <w:highlight w:val="none"/>
          <w:lang w:eastAsia="zh"/>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理财管理人根据理财计划投资情况计算浮动管理费，本理财计划</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w:t>
      </w:r>
      <w:r>
        <w:rPr>
          <w:rFonts w:hint="eastAsia" w:ascii="宋体" w:hAnsi="宋体" w:cs="宋体"/>
          <w:bCs/>
          <w:color w:val="000000"/>
          <w:sz w:val="24"/>
          <w:szCs w:val="24"/>
          <w:highlight w:val="none"/>
          <w:lang w:eastAsia="zh"/>
        </w:rPr>
        <w:t>过</w:t>
      </w:r>
      <w:r>
        <w:rPr>
          <w:rFonts w:hint="eastAsia" w:ascii="宋体" w:hAnsi="宋体" w:eastAsia="宋体" w:cs="宋体"/>
          <w:bCs/>
          <w:color w:val="000000"/>
          <w:kern w:val="2"/>
          <w:sz w:val="24"/>
          <w:szCs w:val="24"/>
          <w:highlight w:val="none"/>
          <w:lang w:val="en-US" w:eastAsia="zh" w:bidi="ar-SA"/>
        </w:rPr>
        <w:t>2.55</w:t>
      </w:r>
      <w:r>
        <w:rPr>
          <w:rFonts w:hint="eastAsia" w:ascii="宋体" w:hAnsi="宋体" w:cs="宋体"/>
          <w:bCs/>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50</w:t>
      </w:r>
      <w:r>
        <w:rPr>
          <w:rFonts w:hint="eastAsia" w:ascii="宋体" w:hAnsi="宋体" w:cs="宋体"/>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2.55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为例，</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50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9"/>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。假设管理人提取超过5.00%的50%作为浮动管理费，浮动管理费计提基</w:t>
      </w:r>
      <w:r>
        <w:rPr>
          <w:rFonts w:hint="eastAsia" w:ascii="宋体" w:hAnsi="宋体" w:eastAsia="宋体" w:cs="宋体"/>
          <w:color w:val="000000"/>
          <w:kern w:val="2"/>
          <w:sz w:val="24"/>
          <w:szCs w:val="24"/>
          <w:lang w:val="en-US" w:eastAsia="zh" w:bidi="ar"/>
        </w:rPr>
        <w:t>数</w:t>
      </w:r>
      <w:r>
        <w:rPr>
          <w:rFonts w:hint="eastAsia" w:ascii="宋体" w:hAnsi="宋体" w:eastAsia="宋体" w:cs="宋体"/>
          <w:color w:val="000000"/>
          <w:kern w:val="2"/>
          <w:sz w:val="24"/>
          <w:szCs w:val="24"/>
          <w:lang w:val="en-US" w:eastAsia="zh-CN" w:bidi="ar"/>
        </w:rPr>
        <w:t>为5.00%，期间无分红。赎回时扣除托管费、固定管理费、销售服务费（如有）后，如理财计划净值为1.0615，此时，(1.0615/1.00-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（100,000.00×1.0615-100,000.00×1.0000-100,000.00×1.0000×5.00%×362/365）×50%=595.55（元）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100,000.00×（1.0615-1.00）-595.55 =5,554.45（元），理财计划赎回时，投资者获得的实际收益相当于达到年化收益率水平为：5,554.45/100,000.00×365/362=5.60%。</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w:t>
      </w:r>
      <w:r>
        <w:rPr>
          <w:rFonts w:hint="eastAsia" w:ascii="宋体" w:hAnsi="宋体" w:eastAsia="宋体" w:cs="宋体"/>
          <w:b w:val="0"/>
          <w:bCs w:val="0"/>
          <w:kern w:val="2"/>
          <w:sz w:val="24"/>
          <w:szCs w:val="24"/>
          <w:lang w:val="en-US" w:eastAsia="zh" w:bidi="ar"/>
        </w:rPr>
        <w:t>数</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1.0426，此时，(1.0426/1.00-1)×365/362=4.30%&lt;5.00%，即投资收益未达到〖5.00%〗，则投资管理人不收取浮动管理费，投资者最终收益为：100,000.00×(1.0426-1.00）=4,260.00（元）</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000000"/>
          <w:kern w:val="2"/>
          <w:sz w:val="24"/>
          <w:szCs w:val="24"/>
          <w:lang w:val="en-US" w:eastAsia="zh" w:bidi="ar"/>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浮动管理费计提基准</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，期间无分红。赎回时扣除托管费、固定管理费、销售服务费（如有）后，如理财计划净值为0.9975，则投资管理人不收取浮动管理费，投资者最终收益为：100,000.00×（0.9975-1.00）=-250.00（元）</w:t>
      </w:r>
      <w:r>
        <w:rPr>
          <w:rFonts w:hint="eastAsia" w:ascii="宋体" w:hAnsi="宋体" w:eastAsia="宋体" w:cs="宋体"/>
          <w:color w:val="000000"/>
          <w:kern w:val="2"/>
          <w:sz w:val="24"/>
          <w:szCs w:val="24"/>
          <w:lang w:val="en-US" w:eastAsia="zh" w:bidi="ar"/>
        </w:rPr>
        <w:t>。</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color w:val="000000"/>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1</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r>
        <w:rPr>
          <w:rFonts w:hint="eastAsia" w:ascii="宋体" w:hAnsi="宋体" w:cs="宋体"/>
          <w:bCs/>
          <w:color w:val="000000"/>
          <w:sz w:val="24"/>
          <w:highlight w:val="none"/>
          <w:lang w:eastAsia="zh"/>
        </w:rPr>
        <w:t>公募开放式产品至少每周披露净值。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
          <w:bCs/>
          <w:color w:val="000000"/>
          <w:sz w:val="44"/>
          <w:szCs w:val="4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BFFAB472"/>
    <w:multiLevelType w:val="multilevel"/>
    <w:tmpl w:val="BFFAB472"/>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2">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7">
    <w:nsid w:val="E70DF796"/>
    <w:multiLevelType w:val="singleLevel"/>
    <w:tmpl w:val="E70DF796"/>
    <w:lvl w:ilvl="0" w:tentative="0">
      <w:start w:val="1"/>
      <w:numFmt w:val="decimal"/>
      <w:suff w:val="nothing"/>
      <w:lvlText w:val="（%1）"/>
      <w:lvlJc w:val="left"/>
    </w:lvl>
  </w:abstractNum>
  <w:abstractNum w:abstractNumId="28">
    <w:nsid w:val="EED9DB58"/>
    <w:multiLevelType w:val="multilevel"/>
    <w:tmpl w:val="EED9DB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7">
    <w:nsid w:val="084A6179"/>
    <w:multiLevelType w:val="singleLevel"/>
    <w:tmpl w:val="084A6179"/>
    <w:lvl w:ilvl="0" w:tentative="0">
      <w:start w:val="1"/>
      <w:numFmt w:val="decimal"/>
      <w:suff w:val="nothing"/>
      <w:lvlText w:val="（%1）"/>
      <w:lvlJc w:val="left"/>
      <w:rPr>
        <w:rFonts w:hint="default"/>
        <w:highlight w:val="none"/>
      </w:rPr>
    </w:lvl>
  </w:abstractNum>
  <w:abstractNum w:abstractNumId="38">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9C07A9C"/>
    <w:multiLevelType w:val="singleLevel"/>
    <w:tmpl w:val="69C07A9C"/>
    <w:lvl w:ilvl="0" w:tentative="0">
      <w:start w:val="1"/>
      <w:numFmt w:val="lowerLetter"/>
      <w:suff w:val="space"/>
      <w:lvlText w:val="%1."/>
      <w:lvlJc w:val="left"/>
    </w:lvl>
  </w:abstractNum>
  <w:abstractNum w:abstractNumId="8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19"/>
  </w:num>
  <w:num w:numId="6">
    <w:abstractNumId w:val="83"/>
  </w:num>
  <w:num w:numId="7">
    <w:abstractNumId w:val="38"/>
  </w:num>
  <w:num w:numId="8">
    <w:abstractNumId w:val="84"/>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1"/>
  </w:num>
  <w:num w:numId="16">
    <w:abstractNumId w:val="11"/>
  </w:num>
  <w:num w:numId="17">
    <w:abstractNumId w:val="17"/>
  </w:num>
  <w:num w:numId="18">
    <w:abstractNumId w:val="8"/>
  </w:num>
  <w:num w:numId="19">
    <w:abstractNumId w:val="9"/>
  </w:num>
  <w:num w:numId="20">
    <w:abstractNumId w:val="7"/>
  </w:num>
  <w:num w:numId="21">
    <w:abstractNumId w:val="35"/>
  </w:num>
  <w:num w:numId="22">
    <w:abstractNumId w:val="52"/>
  </w:num>
  <w:num w:numId="23">
    <w:abstractNumId w:val="33"/>
  </w:num>
  <w:num w:numId="24">
    <w:abstractNumId w:val="54"/>
  </w:num>
  <w:num w:numId="25">
    <w:abstractNumId w:val="59"/>
  </w:num>
  <w:num w:numId="26">
    <w:abstractNumId w:val="81"/>
  </w:num>
  <w:num w:numId="27">
    <w:abstractNumId w:val="45"/>
  </w:num>
  <w:num w:numId="28">
    <w:abstractNumId w:val="20"/>
  </w:num>
  <w:num w:numId="29">
    <w:abstractNumId w:val="44"/>
  </w:num>
  <w:num w:numId="30">
    <w:abstractNumId w:val="23"/>
  </w:num>
  <w:num w:numId="31">
    <w:abstractNumId w:val="6"/>
  </w:num>
  <w:num w:numId="32">
    <w:abstractNumId w:val="56"/>
  </w:num>
  <w:num w:numId="33">
    <w:abstractNumId w:val="5"/>
  </w:num>
  <w:num w:numId="34">
    <w:abstractNumId w:val="37"/>
  </w:num>
  <w:num w:numId="35">
    <w:abstractNumId w:val="42"/>
  </w:num>
  <w:num w:numId="36">
    <w:abstractNumId w:val="82"/>
  </w:num>
  <w:num w:numId="37">
    <w:abstractNumId w:val="36"/>
  </w:num>
  <w:num w:numId="38">
    <w:abstractNumId w:val="22"/>
  </w:num>
  <w:num w:numId="39">
    <w:abstractNumId w:val="47"/>
  </w:num>
  <w:num w:numId="40">
    <w:abstractNumId w:val="0"/>
  </w:num>
  <w:num w:numId="41">
    <w:abstractNumId w:val="25"/>
  </w:num>
  <w:num w:numId="42">
    <w:abstractNumId w:val="50"/>
  </w:num>
  <w:num w:numId="43">
    <w:abstractNumId w:val="3"/>
  </w:num>
  <w:num w:numId="44">
    <w:abstractNumId w:val="26"/>
  </w:num>
  <w:num w:numId="45">
    <w:abstractNumId w:val="28"/>
  </w:num>
  <w:num w:numId="46">
    <w:abstractNumId w:val="55"/>
  </w:num>
  <w:num w:numId="47">
    <w:abstractNumId w:val="40"/>
  </w:num>
  <w:num w:numId="48">
    <w:abstractNumId w:val="18"/>
  </w:num>
  <w:num w:numId="49">
    <w:abstractNumId w:val="32"/>
  </w:num>
  <w:num w:numId="50">
    <w:abstractNumId w:val="27"/>
  </w:num>
  <w:num w:numId="51">
    <w:abstractNumId w:val="29"/>
  </w:num>
  <w:num w:numId="52">
    <w:abstractNumId w:val="80"/>
  </w:num>
  <w:num w:numId="53">
    <w:abstractNumId w:val="46"/>
  </w:num>
  <w:num w:numId="54">
    <w:abstractNumId w:val="2"/>
  </w:num>
  <w:num w:numId="55">
    <w:abstractNumId w:val="58"/>
  </w:num>
  <w:num w:numId="56">
    <w:abstractNumId w:val="12"/>
  </w:num>
  <w:num w:numId="57">
    <w:abstractNumId w:val="10"/>
  </w:num>
  <w:num w:numId="58">
    <w:abstractNumId w:val="13"/>
  </w:num>
  <w:num w:numId="59">
    <w:abstractNumId w:val="41"/>
  </w:num>
  <w:num w:numId="60">
    <w:abstractNumId w:val="24"/>
  </w:num>
  <w:num w:numId="61">
    <w:abstractNumId w:val="4"/>
  </w:num>
  <w:num w:numId="62">
    <w:abstractNumId w:val="49"/>
  </w:num>
  <w:num w:numId="63">
    <w:abstractNumId w:val="67"/>
  </w:num>
  <w:num w:numId="64">
    <w:abstractNumId w:val="66"/>
  </w:num>
  <w:num w:numId="65">
    <w:abstractNumId w:val="68"/>
  </w:num>
  <w:num w:numId="66">
    <w:abstractNumId w:val="69"/>
  </w:num>
  <w:num w:numId="67">
    <w:abstractNumId w:val="70"/>
  </w:num>
  <w:num w:numId="68">
    <w:abstractNumId w:val="71"/>
  </w:num>
  <w:num w:numId="69">
    <w:abstractNumId w:val="72"/>
  </w:num>
  <w:num w:numId="70">
    <w:abstractNumId w:val="73"/>
  </w:num>
  <w:num w:numId="71">
    <w:abstractNumId w:val="48"/>
  </w:num>
  <w:num w:numId="72">
    <w:abstractNumId w:val="16"/>
  </w:num>
  <w:num w:numId="73">
    <w:abstractNumId w:val="60"/>
  </w:num>
  <w:num w:numId="74">
    <w:abstractNumId w:val="61"/>
  </w:num>
  <w:num w:numId="75">
    <w:abstractNumId w:val="62"/>
  </w:num>
  <w:num w:numId="76">
    <w:abstractNumId w:val="63"/>
  </w:num>
  <w:num w:numId="77">
    <w:abstractNumId w:val="64"/>
  </w:num>
  <w:num w:numId="78">
    <w:abstractNumId w:val="65"/>
  </w:num>
  <w:num w:numId="79">
    <w:abstractNumId w:val="74"/>
  </w:num>
  <w:num w:numId="80">
    <w:abstractNumId w:val="75"/>
  </w:num>
  <w:num w:numId="81">
    <w:abstractNumId w:val="15"/>
  </w:num>
  <w:num w:numId="82">
    <w:abstractNumId w:val="76"/>
  </w:num>
  <w:num w:numId="83">
    <w:abstractNumId w:val="77"/>
  </w:num>
  <w:num w:numId="84">
    <w:abstractNumId w:val="78"/>
  </w:num>
  <w:num w:numId="85">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EB77D15"/>
    <w:rsid w:val="0F6D2F4F"/>
    <w:rsid w:val="0FFB8BAD"/>
    <w:rsid w:val="10E7747B"/>
    <w:rsid w:val="10F25E29"/>
    <w:rsid w:val="11FA0C01"/>
    <w:rsid w:val="128B25FE"/>
    <w:rsid w:val="12DA17D8"/>
    <w:rsid w:val="15862C7E"/>
    <w:rsid w:val="164976A9"/>
    <w:rsid w:val="178D1D7E"/>
    <w:rsid w:val="17EA7887"/>
    <w:rsid w:val="18321B09"/>
    <w:rsid w:val="18541FB1"/>
    <w:rsid w:val="18616AA2"/>
    <w:rsid w:val="191F0F43"/>
    <w:rsid w:val="19E235E1"/>
    <w:rsid w:val="1A7E4CCF"/>
    <w:rsid w:val="1BCD72C9"/>
    <w:rsid w:val="1BDEE92B"/>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724D1A"/>
    <w:rsid w:val="2BD054E2"/>
    <w:rsid w:val="2D3FA85E"/>
    <w:rsid w:val="2E16D822"/>
    <w:rsid w:val="2EAD6691"/>
    <w:rsid w:val="2F0D25D9"/>
    <w:rsid w:val="2FA97CB8"/>
    <w:rsid w:val="2FFF877F"/>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7F449A0"/>
    <w:rsid w:val="3B1C12F3"/>
    <w:rsid w:val="3BD53B5C"/>
    <w:rsid w:val="3CC57F13"/>
    <w:rsid w:val="3D4C282D"/>
    <w:rsid w:val="3D970F4E"/>
    <w:rsid w:val="3DE106C6"/>
    <w:rsid w:val="3E540971"/>
    <w:rsid w:val="3E786275"/>
    <w:rsid w:val="3E931F0D"/>
    <w:rsid w:val="3F7E2660"/>
    <w:rsid w:val="3FA31FDD"/>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BF988C8"/>
    <w:rsid w:val="4CC51C60"/>
    <w:rsid w:val="4D3204EA"/>
    <w:rsid w:val="4D697EB1"/>
    <w:rsid w:val="4DFF95C2"/>
    <w:rsid w:val="4E08799D"/>
    <w:rsid w:val="4E2B414A"/>
    <w:rsid w:val="4F5679CC"/>
    <w:rsid w:val="501840BA"/>
    <w:rsid w:val="52B042C0"/>
    <w:rsid w:val="53827B5D"/>
    <w:rsid w:val="53E86B53"/>
    <w:rsid w:val="54D66C6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6D37A2C"/>
    <w:rsid w:val="67CE6661"/>
    <w:rsid w:val="680A5A06"/>
    <w:rsid w:val="68B9403E"/>
    <w:rsid w:val="68D511B9"/>
    <w:rsid w:val="68FA6041"/>
    <w:rsid w:val="69827CEE"/>
    <w:rsid w:val="699E5049"/>
    <w:rsid w:val="6BDE71F2"/>
    <w:rsid w:val="6C9577EB"/>
    <w:rsid w:val="6CBA3A99"/>
    <w:rsid w:val="6D3A1203"/>
    <w:rsid w:val="6D7F6733"/>
    <w:rsid w:val="6E9C369D"/>
    <w:rsid w:val="6EF41B11"/>
    <w:rsid w:val="6FB17196"/>
    <w:rsid w:val="702573F3"/>
    <w:rsid w:val="706E8E93"/>
    <w:rsid w:val="70B57531"/>
    <w:rsid w:val="70FA499F"/>
    <w:rsid w:val="713B571A"/>
    <w:rsid w:val="730C182D"/>
    <w:rsid w:val="737FFDFA"/>
    <w:rsid w:val="73FC9A3F"/>
    <w:rsid w:val="751974A1"/>
    <w:rsid w:val="758B30E4"/>
    <w:rsid w:val="75F42331"/>
    <w:rsid w:val="761F7C3C"/>
    <w:rsid w:val="76683D2A"/>
    <w:rsid w:val="768D2831"/>
    <w:rsid w:val="76C62D9E"/>
    <w:rsid w:val="779F8057"/>
    <w:rsid w:val="78244617"/>
    <w:rsid w:val="7A923507"/>
    <w:rsid w:val="7ACB640D"/>
    <w:rsid w:val="7BFF1A29"/>
    <w:rsid w:val="7C044D89"/>
    <w:rsid w:val="7C63442B"/>
    <w:rsid w:val="7C7C3745"/>
    <w:rsid w:val="7D3AA22F"/>
    <w:rsid w:val="7D546952"/>
    <w:rsid w:val="7D56646C"/>
    <w:rsid w:val="7DE35ECA"/>
    <w:rsid w:val="7DEFCC9B"/>
    <w:rsid w:val="7E1A0C5A"/>
    <w:rsid w:val="7E3212D3"/>
    <w:rsid w:val="7F365A97"/>
    <w:rsid w:val="7F5E9C1F"/>
    <w:rsid w:val="7F5F887D"/>
    <w:rsid w:val="7FCC7D05"/>
    <w:rsid w:val="7FEF42B8"/>
    <w:rsid w:val="7FFF0B3B"/>
    <w:rsid w:val="9FD01BC3"/>
    <w:rsid w:val="AF77296E"/>
    <w:rsid w:val="B3FE25BF"/>
    <w:rsid w:val="B73EB5C4"/>
    <w:rsid w:val="BE6E0F8F"/>
    <w:rsid w:val="C38B20D8"/>
    <w:rsid w:val="C679D4D5"/>
    <w:rsid w:val="CA7F3105"/>
    <w:rsid w:val="D3FFF2E3"/>
    <w:rsid w:val="D4B948F0"/>
    <w:rsid w:val="D4F43AA8"/>
    <w:rsid w:val="D7BE90C3"/>
    <w:rsid w:val="D8BF47B9"/>
    <w:rsid w:val="DAD376E4"/>
    <w:rsid w:val="DB7AB19E"/>
    <w:rsid w:val="DDFE51CF"/>
    <w:rsid w:val="E97E32AA"/>
    <w:rsid w:val="ECE397E8"/>
    <w:rsid w:val="F3C7F184"/>
    <w:rsid w:val="F3F331A4"/>
    <w:rsid w:val="F3FE7E0E"/>
    <w:rsid w:val="F3FF81F7"/>
    <w:rsid w:val="F7FE62B6"/>
    <w:rsid w:val="FA543BA3"/>
    <w:rsid w:val="FAFAB10D"/>
    <w:rsid w:val="FB3B5DB3"/>
    <w:rsid w:val="FBFDB4E3"/>
    <w:rsid w:val="FBFF3395"/>
    <w:rsid w:val="FD7F9463"/>
    <w:rsid w:val="FDFC361F"/>
    <w:rsid w:val="FDFD5128"/>
    <w:rsid w:val="FE8FD80F"/>
    <w:rsid w:val="FEAED78B"/>
    <w:rsid w:val="FEFEE1B7"/>
    <w:rsid w:val="FF4BD653"/>
    <w:rsid w:val="FF6C6882"/>
    <w:rsid w:val="FFFEC61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39116</Words>
  <Characters>41644</Characters>
  <Lines>1</Lines>
  <Paragraphs>1</Paragraphs>
  <TotalTime>6</TotalTime>
  <ScaleCrop>false</ScaleCrop>
  <LinksUpToDate>false</LinksUpToDate>
  <CharactersWithSpaces>41992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2026-01-06T01:19:07Z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