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highlight w:val="none"/>
        </w:rPr>
      </w:pPr>
      <w:bookmarkStart w:id="0" w:name="_GoBack"/>
      <w:bookmarkEnd w:id="0"/>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CN" w:bidi="ar-SA"/>
        </w:rPr>
        <w:t>幸福99丰裕固收386天25226期理财</w:t>
      </w:r>
      <w:r>
        <w:rPr>
          <w:rFonts w:hint="eastAsia" w:ascii="宋体" w:hAnsi="宋体" w:cs="宋体"/>
          <w:b/>
          <w:bCs/>
          <w:sz w:val="44"/>
          <w:szCs w:val="44"/>
          <w:highlight w:val="none"/>
        </w:rPr>
        <w:t>合同</w:t>
      </w: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32"/>
          <w:szCs w:val="32"/>
          <w:highlight w:val="none"/>
        </w:rPr>
      </w:pPr>
      <w:r>
        <w:rPr>
          <w:rFonts w:hint="eastAsia" w:ascii="宋体" w:hAnsi="宋体" w:cs="宋体"/>
          <w:sz w:val="32"/>
          <w:szCs w:val="32"/>
          <w:highlight w:val="none"/>
        </w:rPr>
        <w:t>理财计划管理人：杭银理财有限责任公司</w:t>
      </w:r>
    </w:p>
    <w:p>
      <w:pPr>
        <w:ind w:firstLine="1280" w:firstLineChars="400"/>
        <w:jc w:val="left"/>
        <w:rPr>
          <w:rFonts w:hint="eastAsia" w:ascii="宋体" w:hAnsi="宋体" w:cs="宋体"/>
          <w:sz w:val="32"/>
          <w:szCs w:val="32"/>
          <w:highlight w:val="none"/>
        </w:rPr>
      </w:pPr>
      <w:r>
        <w:rPr>
          <w:rFonts w:hint="eastAsia" w:ascii="宋体" w:hAnsi="宋体" w:cs="宋体"/>
          <w:sz w:val="32"/>
          <w:szCs w:val="32"/>
          <w:highlight w:val="none"/>
        </w:rPr>
        <w:t>理财计划托管人：</w:t>
      </w:r>
      <w:r>
        <w:rPr>
          <w:rFonts w:hint="eastAsia" w:ascii="宋体" w:hAnsi="宋体" w:eastAsia="宋体" w:cs="宋体"/>
          <w:kern w:val="2"/>
          <w:sz w:val="32"/>
          <w:szCs w:val="32"/>
          <w:highlight w:val="none"/>
          <w:lang w:val="en-US" w:eastAsia="zh-CN" w:bidi="ar-SA"/>
        </w:rPr>
        <w:t>杭州银行股份有限公司</w:t>
      </w:r>
    </w:p>
    <w:p>
      <w:pPr>
        <w:ind w:firstLine="1280" w:firstLineChars="400"/>
        <w:jc w:val="left"/>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outlineLvl w:val="9"/>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CN" w:bidi="ar-SA"/>
        </w:rPr>
        <w:t>幸福99丰裕固收386天25226期理财</w:t>
      </w:r>
      <w:r>
        <w:rPr>
          <w:rFonts w:hint="eastAsia" w:ascii="宋体" w:hAnsi="宋体" w:cs="宋体"/>
          <w:b/>
          <w:bCs/>
          <w:sz w:val="44"/>
          <w:szCs w:val="44"/>
          <w:highlight w:val="none"/>
        </w:rPr>
        <w:t>合同文件</w:t>
      </w: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tbl>
      <w:tblPr>
        <w:tblStyle w:val="8"/>
        <w:tblW w:w="8191"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5160"/>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序号</w:t>
            </w:r>
          </w:p>
        </w:tc>
        <w:tc>
          <w:tcPr>
            <w:tcW w:w="516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理财计划合同文件中的文件名称</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文件简称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1</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szCs w:val="21"/>
                <w:highlight w:val="none"/>
              </w:rPr>
            </w:pPr>
            <w:r>
              <w:rPr>
                <w:rFonts w:hint="eastAsia" w:ascii="宋体" w:hAnsi="宋体" w:eastAsia="宋体" w:cs="宋体"/>
                <w:kern w:val="2"/>
                <w:sz w:val="21"/>
                <w:szCs w:val="21"/>
                <w:highlight w:val="none"/>
                <w:lang w:val="en-US" w:eastAsia="zh-CN" w:bidi="ar-SA"/>
              </w:rPr>
              <w:t>幸福99丰裕固收386天25226期理财</w:t>
            </w:r>
            <w:r>
              <w:rPr>
                <w:rFonts w:hint="eastAsia" w:ascii="宋体" w:hAnsi="宋体" w:cs="宋体"/>
                <w:szCs w:val="21"/>
                <w:highlight w:val="none"/>
              </w:rPr>
              <w:t>风险揭示书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2</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szCs w:val="21"/>
                <w:highlight w:val="none"/>
              </w:rPr>
            </w:pPr>
            <w:r>
              <w:rPr>
                <w:rFonts w:hint="eastAsia" w:ascii="宋体" w:hAnsi="宋体" w:eastAsia="宋体" w:cs="宋体"/>
                <w:kern w:val="2"/>
                <w:sz w:val="21"/>
                <w:szCs w:val="21"/>
                <w:highlight w:val="none"/>
                <w:lang w:val="en-US" w:eastAsia="zh-CN" w:bidi="ar-SA"/>
              </w:rPr>
              <w:t>幸福99丰裕固收386天25226期理财</w:t>
            </w:r>
            <w:r>
              <w:rPr>
                <w:rFonts w:hint="eastAsia" w:ascii="宋体" w:hAnsi="宋体" w:cs="宋体"/>
                <w:szCs w:val="21"/>
                <w:highlight w:val="none"/>
              </w:rPr>
              <w:t>产品说明书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理财计划产品说明书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3</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杭银理财投资者权益须知</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投资者权益须知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4</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杭银理财理财计划投资协议书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理财计划投资协议书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5</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杭银理财理财计划销售协议书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理财计划销售协议书</w:t>
            </w:r>
          </w:p>
        </w:tc>
      </w:tr>
    </w:tbl>
    <w:p>
      <w:pPr>
        <w:rPr>
          <w:rFonts w:ascii="宋体" w:hAnsi="宋体" w:cs="宋体"/>
          <w:bCs/>
          <w:color w:val="000000"/>
          <w:sz w:val="24"/>
          <w:highlight w:val="none"/>
        </w:rPr>
      </w:pPr>
      <w:r>
        <w:rPr>
          <w:rFonts w:ascii="宋体" w:hAnsi="宋体" w:cs="宋体"/>
          <w:bCs/>
          <w:color w:val="000000"/>
          <w:sz w:val="24"/>
          <w:highlight w:val="none"/>
        </w:rPr>
        <w:br w:type="page"/>
      </w:r>
    </w:p>
    <w:p>
      <w:pPr>
        <w:ind w:left="0" w:leftChars="0" w:firstLine="0" w:firstLineChars="0"/>
        <w:jc w:val="center"/>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 w:bidi="ar-SA"/>
        </w:rPr>
        <w:t>幸福99丰裕固收386天25226期理财</w:t>
      </w:r>
      <w:r>
        <w:rPr>
          <w:rFonts w:hint="eastAsia" w:ascii="宋体" w:hAnsi="宋体" w:cs="宋体"/>
          <w:b/>
          <w:bCs/>
          <w:sz w:val="44"/>
          <w:szCs w:val="44"/>
          <w:highlight w:val="none"/>
        </w:rPr>
        <w:t>风险揭示书</w:t>
      </w:r>
    </w:p>
    <w:p>
      <w:pPr>
        <w:jc w:val="center"/>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w:t>
      </w:r>
      <w:r>
        <w:rPr>
          <w:rFonts w:hint="eastAsia" w:ascii="宋体" w:hAnsi="宋体" w:cs="宋体"/>
          <w:b/>
          <w:bCs/>
          <w:sz w:val="24"/>
          <w:highlight w:val="none"/>
          <w:u w:val="single"/>
          <w:lang w:eastAsia="zh-CN"/>
        </w:rPr>
        <w:t>须</w:t>
      </w:r>
      <w:r>
        <w:rPr>
          <w:rFonts w:hint="eastAsia" w:ascii="宋体" w:hAnsi="宋体" w:cs="宋体"/>
          <w:b/>
          <w:bCs/>
          <w:sz w:val="24"/>
          <w:highlight w:val="none"/>
          <w:u w:val="single"/>
        </w:rPr>
        <w:t>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w:t>
      </w:r>
      <w:r>
        <w:rPr>
          <w:rFonts w:hint="eastAsia" w:ascii="宋体" w:hAnsi="宋体" w:cs="宋体"/>
          <w:bCs/>
          <w:sz w:val="24"/>
          <w:highlight w:val="none"/>
          <w:lang w:eastAsia="zh-CN"/>
        </w:rPr>
        <w:t>国家金融监督管理总局</w:t>
      </w:r>
      <w:r>
        <w:rPr>
          <w:rFonts w:hint="eastAsia" w:ascii="宋体" w:hAnsi="宋体" w:cs="宋体"/>
          <w:bCs/>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sz w:val="24"/>
          <w:highlight w:val="none"/>
          <w:lang w:eastAsia="zh-CN"/>
        </w:rPr>
        <w:t>理财计划</w:t>
      </w:r>
      <w:r>
        <w:rPr>
          <w:rFonts w:hint="eastAsia" w:ascii="宋体" w:hAnsi="宋体" w:cs="宋体"/>
          <w:bCs/>
          <w:sz w:val="24"/>
          <w:highlight w:val="none"/>
        </w:rPr>
        <w:t>风险揭示书、理财计划说明书、投资者权益须知</w:t>
      </w:r>
      <w:r>
        <w:rPr>
          <w:rFonts w:hint="eastAsia" w:ascii="宋体" w:hAnsi="宋体" w:cs="宋体"/>
          <w:bCs/>
          <w:sz w:val="24"/>
          <w:highlight w:val="none"/>
          <w:lang w:eastAsia="zh-CN"/>
        </w:rPr>
        <w:t>、</w:t>
      </w:r>
      <w:r>
        <w:rPr>
          <w:rFonts w:hint="eastAsia" w:ascii="宋体" w:hAnsi="宋体" w:cs="宋体"/>
          <w:bCs/>
          <w:sz w:val="24"/>
          <w:highlight w:val="none"/>
        </w:rPr>
        <w:t>理财计划投资协议书</w:t>
      </w:r>
      <w:r>
        <w:rPr>
          <w:rFonts w:hint="eastAsia" w:ascii="宋体" w:hAnsi="宋体" w:cs="宋体"/>
          <w:bCs/>
          <w:sz w:val="24"/>
          <w:highlight w:val="none"/>
          <w:lang w:eastAsia="zh-CN"/>
        </w:rPr>
        <w:t>和理财计划（</w:t>
      </w:r>
      <w:r>
        <w:rPr>
          <w:rFonts w:hint="eastAsia" w:ascii="宋体" w:hAnsi="宋体" w:cs="宋体"/>
          <w:bCs/>
          <w:sz w:val="24"/>
          <w:highlight w:val="none"/>
          <w:lang w:val="en-US" w:eastAsia="zh-CN"/>
        </w:rPr>
        <w:t>代理销售</w:t>
      </w:r>
      <w:r>
        <w:rPr>
          <w:rFonts w:hint="eastAsia" w:ascii="宋体" w:hAnsi="宋体" w:cs="宋体"/>
          <w:bCs/>
          <w:sz w:val="24"/>
          <w:highlight w:val="none"/>
          <w:lang w:eastAsia="zh-CN"/>
        </w:rPr>
        <w:t>）销售协议书</w:t>
      </w:r>
      <w:r>
        <w:rPr>
          <w:rFonts w:hint="eastAsia" w:ascii="宋体" w:hAnsi="宋体" w:cs="宋体"/>
          <w:bCs/>
          <w:sz w:val="24"/>
          <w:highlight w:val="none"/>
        </w:rPr>
        <w:t>，</w:t>
      </w:r>
      <w:r>
        <w:rPr>
          <w:rFonts w:hint="eastAsia" w:ascii="宋体" w:hAnsi="宋体" w:cs="宋体"/>
          <w:b/>
          <w:bCs w:val="0"/>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理财计划共性风险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w:t>
      </w:r>
      <w:r>
        <w:rPr>
          <w:rFonts w:hint="eastAsia" w:ascii="宋体" w:hAnsi="宋体" w:cs="宋体"/>
          <w:b/>
          <w:sz w:val="24"/>
          <w:highlight w:val="none"/>
          <w:lang w:eastAsia="zh-CN"/>
        </w:rPr>
        <w:t>的实际购买力</w:t>
      </w:r>
      <w:r>
        <w:rPr>
          <w:rFonts w:hint="eastAsia" w:ascii="宋体" w:hAnsi="宋体" w:cs="宋体"/>
          <w:b/>
          <w:sz w:val="24"/>
          <w:highlight w:val="none"/>
        </w:rPr>
        <w:t>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政策风险：理财计划根据当前的相关法规和政策设计，如国家宏观政策以及相关市场</w:t>
      </w:r>
      <w:r>
        <w:rPr>
          <w:rFonts w:hint="eastAsia" w:ascii="宋体" w:hAnsi="宋体" w:cs="宋体"/>
          <w:b/>
          <w:sz w:val="24"/>
          <w:highlight w:val="none"/>
          <w:lang w:val="en-US" w:eastAsia="zh-CN"/>
        </w:rPr>
        <w:t>法律、</w:t>
      </w:r>
      <w:r>
        <w:rPr>
          <w:rFonts w:hint="eastAsia" w:ascii="宋体" w:hAnsi="宋体" w:cs="宋体"/>
          <w:b/>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提前</w:t>
      </w:r>
      <w:r>
        <w:rPr>
          <w:rFonts w:hint="eastAsia" w:ascii="宋体" w:hAnsi="宋体" w:cs="宋体"/>
          <w:b/>
          <w:sz w:val="24"/>
          <w:highlight w:val="none"/>
          <w:lang w:eastAsia="zh-CN"/>
        </w:rPr>
        <w:t>或延期</w:t>
      </w:r>
      <w:r>
        <w:rPr>
          <w:rFonts w:hint="eastAsia" w:ascii="宋体" w:hAnsi="宋体" w:cs="宋体"/>
          <w:b/>
          <w:sz w:val="24"/>
          <w:highlight w:val="none"/>
        </w:rPr>
        <w:t>终止风险：为保护投资者利益，在理财计划存续期间，管理人可根据理财计划说明书约定的情形提前</w:t>
      </w:r>
      <w:r>
        <w:rPr>
          <w:rFonts w:hint="eastAsia" w:ascii="宋体" w:hAnsi="宋体" w:cs="宋体"/>
          <w:b/>
          <w:sz w:val="24"/>
          <w:highlight w:val="none"/>
          <w:lang w:eastAsia="zh-CN"/>
        </w:rPr>
        <w:t>或延期</w:t>
      </w:r>
      <w:r>
        <w:rPr>
          <w:rFonts w:hint="eastAsia" w:ascii="宋体" w:hAnsi="宋体" w:cs="宋体"/>
          <w:b/>
          <w:sz w:val="24"/>
          <w:highlight w:val="none"/>
        </w:rPr>
        <w:t>终止本理财计划。如理财计划被提前</w:t>
      </w:r>
      <w:r>
        <w:rPr>
          <w:rFonts w:hint="eastAsia" w:ascii="宋体" w:hAnsi="宋体" w:cs="宋体"/>
          <w:b/>
          <w:sz w:val="24"/>
          <w:highlight w:val="none"/>
          <w:lang w:eastAsia="zh-CN"/>
        </w:rPr>
        <w:t>或延期</w:t>
      </w:r>
      <w:r>
        <w:rPr>
          <w:rFonts w:hint="eastAsia" w:ascii="宋体" w:hAnsi="宋体" w:cs="宋体"/>
          <w:b/>
          <w:sz w:val="24"/>
          <w:highlight w:val="none"/>
        </w:rPr>
        <w:t>终止，则投资者将面临提前终止再投资</w:t>
      </w:r>
      <w:r>
        <w:rPr>
          <w:rFonts w:hint="eastAsia" w:ascii="宋体" w:hAnsi="宋体" w:cs="宋体"/>
          <w:b/>
          <w:sz w:val="24"/>
          <w:highlight w:val="none"/>
          <w:lang w:eastAsia="zh-CN"/>
        </w:rPr>
        <w:t>或延期兑付</w:t>
      </w:r>
      <w:r>
        <w:rPr>
          <w:rFonts w:hint="eastAsia" w:ascii="宋体" w:hAnsi="宋体" w:cs="宋体"/>
          <w:b/>
          <w:sz w:val="24"/>
          <w:highlight w:val="none"/>
        </w:rPr>
        <w:t>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信息传递风险：</w:t>
      </w:r>
      <w:r>
        <w:rPr>
          <w:rFonts w:hint="eastAsia" w:ascii="宋体" w:hAnsi="宋体" w:cs="宋体"/>
          <w:b/>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sz w:val="24"/>
          <w:highlight w:val="none"/>
        </w:rPr>
        <w:t>由于投资者未能及时主动了解理财计划信息</w:t>
      </w:r>
      <w:r>
        <w:rPr>
          <w:rFonts w:hint="eastAsia" w:ascii="宋体" w:hAnsi="宋体" w:cs="宋体"/>
          <w:b/>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sz w:val="24"/>
          <w:highlight w:val="none"/>
        </w:rPr>
        <w:t>。</w:t>
      </w:r>
      <w:r>
        <w:rPr>
          <w:rFonts w:hint="eastAsia" w:ascii="宋体" w:hAnsi="宋体" w:cs="宋体"/>
          <w:b/>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sz w:val="24"/>
          <w:highlight w:val="none"/>
          <w:lang w:eastAsia="zh-CN"/>
        </w:rPr>
        <w:t>理</w:t>
      </w:r>
      <w:r>
        <w:rPr>
          <w:rFonts w:hint="eastAsia" w:ascii="宋体" w:hAnsi="宋体" w:cs="宋体"/>
          <w:b/>
          <w:sz w:val="24"/>
          <w:highlight w:val="none"/>
        </w:rPr>
        <w:t>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eastAsia="zh-CN"/>
        </w:rPr>
        <w:t>关</w:t>
      </w:r>
      <w:r>
        <w:rPr>
          <w:rFonts w:ascii="宋体" w:hAnsi="宋体" w:cs="宋体"/>
          <w:b/>
          <w:sz w:val="24"/>
          <w:highlight w:val="none"/>
        </w:rPr>
        <w:t>联关系</w:t>
      </w:r>
      <w:r>
        <w:rPr>
          <w:rFonts w:hint="eastAsia" w:ascii="宋体" w:hAnsi="宋体" w:cs="宋体"/>
          <w:b/>
          <w:sz w:val="24"/>
          <w:highlight w:val="none"/>
          <w:lang w:val="en-US" w:eastAsia="zh-CN"/>
        </w:rPr>
        <w:t>及关联交易</w:t>
      </w:r>
      <w:r>
        <w:rPr>
          <w:rFonts w:ascii="宋体" w:hAnsi="宋体" w:cs="宋体"/>
          <w:b/>
          <w:sz w:val="24"/>
          <w:highlight w:val="none"/>
        </w:rPr>
        <w:t>风险：</w:t>
      </w:r>
      <w:r>
        <w:rPr>
          <w:rFonts w:hint="eastAsia" w:ascii="宋体" w:hAnsi="宋体" w:cs="宋体"/>
          <w:b/>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sz w:val="24"/>
          <w:highlight w:val="none"/>
        </w:rPr>
        <w:t>杭州银行股份有限公司</w:t>
      </w:r>
      <w:r>
        <w:rPr>
          <w:rFonts w:hint="eastAsia" w:ascii="宋体" w:hAnsi="宋体" w:cs="宋体"/>
          <w:b/>
          <w:sz w:val="24"/>
          <w:highlight w:val="none"/>
          <w:lang w:eastAsia="zh-CN"/>
        </w:rPr>
        <w:t>（</w:t>
      </w:r>
      <w:r>
        <w:rPr>
          <w:rFonts w:hint="eastAsia" w:ascii="宋体" w:hAnsi="宋体" w:cs="宋体"/>
          <w:b/>
          <w:sz w:val="24"/>
          <w:highlight w:val="none"/>
          <w:lang w:val="en-US" w:eastAsia="zh-CN"/>
        </w:rPr>
        <w:t>以下简称“杭州银行”</w:t>
      </w:r>
      <w:r>
        <w:rPr>
          <w:rFonts w:hint="eastAsia" w:ascii="宋体" w:hAnsi="宋体" w:cs="宋体"/>
          <w:b/>
          <w:sz w:val="24"/>
          <w:highlight w:val="none"/>
          <w:lang w:eastAsia="zh-CN"/>
        </w:rPr>
        <w:t>）</w:t>
      </w:r>
      <w:r>
        <w:rPr>
          <w:rFonts w:hint="eastAsia" w:ascii="宋体" w:hAnsi="宋体" w:cs="宋体"/>
          <w:b/>
          <w:sz w:val="24"/>
          <w:highlight w:val="none"/>
          <w:lang w:val="en-US" w:eastAsia="zh-CN"/>
        </w:rPr>
        <w:t>作为理财计划的销售服务机构</w:t>
      </w:r>
      <w:r>
        <w:rPr>
          <w:rFonts w:ascii="宋体" w:hAnsi="宋体" w:cs="宋体"/>
          <w:b/>
          <w:sz w:val="24"/>
          <w:highlight w:val="none"/>
        </w:rPr>
        <w:t>，</w:t>
      </w:r>
      <w:r>
        <w:rPr>
          <w:rFonts w:hint="eastAsia" w:ascii="宋体" w:hAnsi="宋体" w:cs="宋体"/>
          <w:b/>
          <w:sz w:val="24"/>
          <w:highlight w:val="none"/>
          <w:lang w:val="en-US" w:eastAsia="zh-CN"/>
        </w:rPr>
        <w:t>负责理财计划的代理销售工作。</w:t>
      </w:r>
      <w:r>
        <w:rPr>
          <w:rFonts w:ascii="宋体" w:hAnsi="宋体" w:cs="宋体"/>
          <w:b/>
          <w:sz w:val="24"/>
          <w:highlight w:val="none"/>
        </w:rPr>
        <w:t>杭银理财系杭州银行全资子公司，双方存在关联关系。</w:t>
      </w:r>
      <w:r>
        <w:rPr>
          <w:rFonts w:hint="eastAsia" w:ascii="宋体" w:hAnsi="宋体" w:cs="宋体"/>
          <w:b/>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理财计划特定风险</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资金流动性风险：本理财计划认购份额确认后，封闭式运作，产品终止前投资者不得提前赎回。</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收益不达业绩比较基准风险：本理财计划可投资于债券及非标准化债权类资产等固定收益类及权益类资产，因融资人违约及市场波动或导致投资者的本金出现损失。</w:t>
      </w:r>
    </w:p>
    <w:p>
      <w:pPr>
        <w:numPr>
          <w:ilvl w:val="0"/>
          <w:numId w:val="0"/>
        </w:numPr>
        <w:spacing w:line="360" w:lineRule="auto"/>
        <w:ind w:left="420" w:leftChars="0"/>
        <w:jc w:val="left"/>
        <w:rPr>
          <w:rFonts w:hint="eastAsia" w:ascii="宋体" w:hAnsi="宋体" w:cs="宋体"/>
          <w:b/>
          <w:sz w:val="24"/>
          <w:highlight w:val="none"/>
        </w:rPr>
      </w:pPr>
    </w:p>
    <w:p>
      <w:pPr>
        <w:spacing w:line="360" w:lineRule="auto"/>
        <w:jc w:val="left"/>
        <w:rPr>
          <w:rFonts w:ascii="宋体" w:hAnsi="宋体" w:cs="宋体"/>
          <w:b/>
          <w:sz w:val="24"/>
          <w:highlight w:val="none"/>
        </w:rPr>
      </w:pPr>
      <w:r>
        <w:rPr>
          <w:rFonts w:hint="eastAsia" w:ascii="宋体" w:hAnsi="宋体" w:cs="宋体"/>
          <w:b/>
          <w:sz w:val="24"/>
          <w:highlight w:val="none"/>
        </w:rPr>
        <w:t xml:space="preserve">    上述理财计划共性与特定风险发生时，投资者的本金及收益可能遭受损失，在最不利情形下，将损失全部本金及收益</w:t>
      </w:r>
      <w:r>
        <w:rPr>
          <w:rFonts w:hint="eastAsia" w:ascii="宋体" w:hAnsi="宋体" w:cs="宋体"/>
          <w:b/>
          <w:sz w:val="24"/>
          <w:highlight w:val="none"/>
          <w:lang w:eastAsia="zh-CN"/>
        </w:rPr>
        <w:t>（</w:t>
      </w:r>
      <w:r>
        <w:rPr>
          <w:rFonts w:hint="eastAsia" w:ascii="宋体" w:hAnsi="宋体" w:cs="宋体"/>
          <w:b/>
          <w:sz w:val="24"/>
          <w:highlight w:val="none"/>
          <w:lang w:val="en-US" w:eastAsia="zh-CN"/>
        </w:rPr>
        <w:t>如有</w:t>
      </w:r>
      <w:r>
        <w:rPr>
          <w:rFonts w:hint="eastAsia" w:ascii="宋体" w:hAnsi="宋体" w:cs="宋体"/>
          <w:b/>
          <w:sz w:val="24"/>
          <w:highlight w:val="none"/>
          <w:lang w:eastAsia="zh-CN"/>
        </w:rPr>
        <w:t>）</w:t>
      </w:r>
      <w:r>
        <w:rPr>
          <w:rFonts w:hint="eastAsia" w:ascii="宋体" w:hAnsi="宋体" w:cs="宋体"/>
          <w:b/>
          <w:sz w:val="24"/>
          <w:highlight w:val="none"/>
        </w:rPr>
        <w:t>，由此产生的风险及损失将由投资者自行承担。</w:t>
      </w:r>
    </w:p>
    <w:p>
      <w:pPr>
        <w:numPr>
          <w:ilvl w:val="0"/>
          <w:numId w:val="1"/>
        </w:numPr>
        <w:spacing w:line="360" w:lineRule="auto"/>
        <w:jc w:val="left"/>
        <w:outlineLvl w:val="9"/>
        <w:rPr>
          <w:rFonts w:ascii="宋体" w:hAnsi="宋体" w:cs="宋体"/>
          <w:b/>
          <w:sz w:val="24"/>
          <w:highlight w:val="none"/>
        </w:rPr>
      </w:pPr>
      <w:r>
        <w:rPr>
          <w:rFonts w:hint="eastAsia" w:ascii="宋体" w:hAnsi="宋体" w:cs="宋体"/>
          <w:b/>
          <w:sz w:val="24"/>
          <w:highlight w:val="none"/>
        </w:rPr>
        <w:t>其他信息提示</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根据现有法律法规及金融监管机构对于理财产品的相关分类，投资者还需了解以下信息：</w:t>
      </w:r>
    </w:p>
    <w:p>
      <w:pPr>
        <w:numPr>
          <w:ilvl w:val="0"/>
          <w:numId w:val="6"/>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w:t>
      </w:r>
      <w:r>
        <w:rPr>
          <w:rFonts w:hint="eastAsia" w:ascii="宋体" w:hAnsi="宋体" w:eastAsia="宋体" w:cs="宋体"/>
          <w:b/>
          <w:kern w:val="2"/>
          <w:sz w:val="24"/>
          <w:szCs w:val="24"/>
          <w:highlight w:val="none"/>
          <w:lang w:val="en-US" w:eastAsia="zh-CN" w:bidi="ar-SA"/>
        </w:rPr>
        <w:t>公募</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封闭式</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固定收益类</w:t>
      </w:r>
      <w:r>
        <w:rPr>
          <w:rFonts w:hint="eastAsia" w:ascii="宋体" w:hAnsi="宋体" w:cs="宋体"/>
          <w:b/>
          <w:sz w:val="24"/>
          <w:highlight w:val="none"/>
        </w:rPr>
        <w:t>〗净值型理财计划，〖</w:t>
      </w:r>
      <w:r>
        <w:rPr>
          <w:rFonts w:hint="eastAsia" w:ascii="宋体" w:hAnsi="宋体" w:eastAsia="宋体" w:cs="宋体"/>
          <w:b/>
          <w:kern w:val="2"/>
          <w:sz w:val="24"/>
          <w:szCs w:val="24"/>
          <w:highlight w:val="none"/>
          <w:lang w:val="en-US" w:eastAsia="zh-CN" w:bidi="ar-SA"/>
        </w:rPr>
        <w:t>386</w:t>
      </w:r>
      <w:r>
        <w:rPr>
          <w:rFonts w:hint="eastAsia" w:ascii="宋体" w:hAnsi="宋体" w:cs="宋体"/>
          <w:b/>
          <w:sz w:val="24"/>
          <w:highlight w:val="none"/>
        </w:rPr>
        <w:t>〗</w:t>
      </w:r>
      <w:r>
        <w:rPr>
          <w:rFonts w:hint="eastAsia" w:ascii="宋体" w:hAnsi="宋体" w:cs="宋体"/>
          <w:b/>
          <w:sz w:val="24"/>
          <w:highlight w:val="none"/>
          <w:lang w:eastAsia="zh"/>
        </w:rPr>
        <w:t>天</w:t>
      </w:r>
      <w:r>
        <w:rPr>
          <w:rFonts w:hint="eastAsia" w:ascii="宋体" w:hAnsi="宋体" w:cs="宋体"/>
          <w:bCs/>
          <w:color w:val="000000"/>
          <w:sz w:val="24"/>
          <w:highlight w:val="none"/>
          <w:lang w:eastAsia="zh-CN"/>
        </w:rPr>
        <w:t>，</w:t>
      </w:r>
      <w:r>
        <w:rPr>
          <w:rFonts w:hint="eastAsia" w:ascii="宋体" w:hAnsi="宋体" w:cs="宋体"/>
          <w:b/>
          <w:sz w:val="24"/>
          <w:highlight w:val="none"/>
        </w:rPr>
        <w:t>不保证本金与收益。</w:t>
      </w:r>
      <w:r>
        <w:rPr>
          <w:rFonts w:hint="eastAsia" w:ascii="宋体" w:hAnsi="宋体" w:cs="宋体"/>
          <w:b/>
          <w:sz w:val="24"/>
          <w:highlight w:val="none"/>
          <w:lang w:val="en-US" w:eastAsia="zh-CN"/>
        </w:rPr>
        <w:t>理财计划过往业绩不代表其未来表现，不等于理财计划实际收益，投资须谨慎！</w:t>
      </w:r>
      <w:r>
        <w:rPr>
          <w:rFonts w:hint="eastAsia" w:ascii="宋体" w:hAnsi="宋体" w:cs="宋体"/>
          <w:b/>
          <w:sz w:val="24"/>
          <w:highlight w:val="none"/>
        </w:rPr>
        <w:t>根据本公司理财产品内部风险评级，该理财计划风险评级结果为〖</w:t>
      </w:r>
      <w:r>
        <w:rPr>
          <w:rFonts w:hint="eastAsia" w:ascii="宋体" w:hAnsi="宋体" w:eastAsia="宋体" w:cs="宋体"/>
          <w:b/>
          <w:kern w:val="2"/>
          <w:sz w:val="24"/>
          <w:szCs w:val="24"/>
          <w:highlight w:val="none"/>
          <w:lang w:val="en-US" w:eastAsia="zh-CN" w:bidi="ar-SA"/>
        </w:rPr>
        <w:t>R2</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中低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w:t>
      </w:r>
      <w:r>
        <w:rPr>
          <w:rFonts w:hint="eastAsia" w:ascii="宋体" w:hAnsi="宋体" w:cs="宋体"/>
          <w:bCs/>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sz w:val="24"/>
          <w:highlight w:val="none"/>
        </w:rPr>
        <w:t>），</w:t>
      </w:r>
      <w:r>
        <w:rPr>
          <w:rFonts w:hint="eastAsia" w:ascii="宋体" w:hAnsi="宋体" w:cs="宋体"/>
          <w:b/>
          <w:sz w:val="24"/>
          <w:highlight w:val="none"/>
        </w:rPr>
        <w:t>总体风险〖</w:t>
      </w:r>
      <w:r>
        <w:rPr>
          <w:rFonts w:hint="eastAsia" w:ascii="宋体" w:hAnsi="宋体" w:eastAsia="宋体" w:cs="宋体"/>
          <w:b/>
          <w:kern w:val="2"/>
          <w:sz w:val="24"/>
          <w:szCs w:val="24"/>
          <w:highlight w:val="none"/>
          <w:lang w:val="en-US" w:eastAsia="zh-CN" w:bidi="ar-SA"/>
        </w:rPr>
        <w:t>程度较低，收益波动较小，虽然存在一些可能对产品本金和收益安全产生不利影响的因素，但产品本金出现损失的可能性较小</w:t>
      </w:r>
      <w:r>
        <w:rPr>
          <w:rFonts w:hint="eastAsia" w:ascii="宋体" w:hAnsi="宋体" w:cs="宋体"/>
          <w:b/>
          <w:sz w:val="24"/>
          <w:highlight w:val="none"/>
        </w:rPr>
        <w:t>〗。</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w:t>
      </w:r>
      <w:r>
        <w:rPr>
          <w:rFonts w:hint="eastAsia" w:ascii="宋体" w:hAnsi="宋体" w:eastAsia="宋体" w:cs="宋体"/>
          <w:b/>
          <w:kern w:val="2"/>
          <w:sz w:val="24"/>
          <w:szCs w:val="24"/>
          <w:highlight w:val="none"/>
          <w:lang w:val="en-US" w:eastAsia="zh-CN" w:bidi="ar-SA"/>
        </w:rPr>
        <w:t>〖机构投资者〗以及〖稳健型、平衡型、成长型、进取型〗的个人投资者</w:t>
      </w:r>
      <w:r>
        <w:rPr>
          <w:rFonts w:hint="eastAsia" w:ascii="宋体" w:hAnsi="宋体" w:cs="宋体"/>
          <w:b/>
          <w:sz w:val="24"/>
          <w:highlight w:val="none"/>
          <w:lang w:eastAsia="zh-CN"/>
        </w:rPr>
        <w:t>。</w:t>
      </w:r>
      <w:r>
        <w:rPr>
          <w:rFonts w:hint="eastAsia" w:ascii="宋体" w:hAnsi="宋体" w:cs="宋体"/>
          <w:b w:val="0"/>
          <w:bCs/>
          <w:sz w:val="24"/>
          <w:highlight w:val="none"/>
          <w:lang w:val="en-US" w:eastAsia="zh-CN"/>
        </w:rPr>
        <w:t>本理财计划投资者适当性评估由销售机构负责，销售机构</w:t>
      </w:r>
      <w:r>
        <w:rPr>
          <w:rFonts w:hint="eastAsia" w:ascii="宋体" w:hAnsi="宋体" w:cs="宋体"/>
          <w:bCs/>
          <w:sz w:val="24"/>
          <w:highlight w:val="none"/>
        </w:rPr>
        <w:t>应确保个人投资者的风险承受能力不低于本理财计划风险评级。</w:t>
      </w:r>
      <w:r>
        <w:rPr>
          <w:rFonts w:hint="eastAsia" w:ascii="宋体" w:hAnsi="宋体" w:cs="宋体"/>
          <w:bCs/>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w:t>
      </w:r>
      <w:r>
        <w:rPr>
          <w:rFonts w:hint="eastAsia" w:ascii="宋体" w:hAnsi="宋体" w:cs="宋体"/>
          <w:bCs/>
          <w:sz w:val="24"/>
          <w:highlight w:val="none"/>
          <w:lang w:eastAsia="zh-CN"/>
        </w:rPr>
        <w:t>理财计划</w:t>
      </w:r>
      <w:r>
        <w:rPr>
          <w:rFonts w:hint="eastAsia" w:ascii="宋体" w:hAnsi="宋体" w:cs="宋体"/>
          <w:bCs/>
          <w:sz w:val="24"/>
          <w:highlight w:val="none"/>
        </w:rPr>
        <w:t>管理人</w:t>
      </w:r>
      <w:r>
        <w:rPr>
          <w:rFonts w:hint="eastAsia" w:ascii="宋体" w:hAnsi="宋体" w:cs="宋体"/>
          <w:bCs/>
          <w:sz w:val="24"/>
          <w:szCs w:val="24"/>
          <w:highlight w:val="none"/>
        </w:rPr>
        <w:t>有权按照</w:t>
      </w:r>
      <w:r>
        <w:rPr>
          <w:rFonts w:hint="eastAsia" w:ascii="宋体" w:hAnsi="宋体" w:cs="宋体"/>
          <w:bCs/>
          <w:sz w:val="24"/>
          <w:highlight w:val="none"/>
        </w:rPr>
        <w:t>国内外反洗钱相关适用的</w:t>
      </w:r>
      <w:r>
        <w:rPr>
          <w:rFonts w:hint="eastAsia" w:ascii="宋体" w:hAnsi="宋体" w:cs="宋体"/>
          <w:bCs/>
          <w:sz w:val="24"/>
          <w:szCs w:val="24"/>
          <w:highlight w:val="none"/>
        </w:rPr>
        <w:t>法律法规和监管要求，从</w:t>
      </w:r>
      <w:r>
        <w:rPr>
          <w:rFonts w:hint="eastAsia" w:ascii="宋体" w:hAnsi="宋体" w:cs="宋体"/>
          <w:bCs/>
          <w:sz w:val="24"/>
          <w:szCs w:val="24"/>
          <w:highlight w:val="none"/>
          <w:lang w:eastAsia="zh-CN"/>
        </w:rPr>
        <w:t>销售机构</w:t>
      </w:r>
      <w:r>
        <w:rPr>
          <w:rFonts w:hint="eastAsia" w:ascii="宋体" w:hAnsi="宋体" w:cs="宋体"/>
          <w:bCs/>
          <w:sz w:val="24"/>
          <w:szCs w:val="24"/>
          <w:highlight w:val="none"/>
        </w:rPr>
        <w:t>获</w:t>
      </w:r>
      <w:r>
        <w:rPr>
          <w:rFonts w:hint="eastAsia" w:ascii="宋体" w:hAnsi="宋体" w:cs="宋体"/>
          <w:bCs/>
          <w:sz w:val="24"/>
          <w:highlight w:val="none"/>
        </w:rPr>
        <w:t>得相应必要的</w:t>
      </w:r>
      <w:r>
        <w:rPr>
          <w:rFonts w:hint="eastAsia" w:ascii="宋体" w:hAnsi="宋体" w:cs="宋体"/>
          <w:bCs/>
          <w:sz w:val="24"/>
          <w:szCs w:val="24"/>
          <w:highlight w:val="none"/>
        </w:rPr>
        <w:t>投资者身份信息并报送投资者身份信息及其持有理财产品信息。</w:t>
      </w:r>
      <w:r>
        <w:rPr>
          <w:rFonts w:hint="eastAsia" w:ascii="宋体" w:hAnsi="宋体" w:cs="宋体"/>
          <w:bCs/>
          <w:sz w:val="24"/>
          <w:szCs w:val="24"/>
          <w:highlight w:val="none"/>
          <w:lang w:eastAsia="zh-CN"/>
        </w:rPr>
        <w:t>销售机构</w:t>
      </w:r>
      <w:r>
        <w:rPr>
          <w:rFonts w:hint="eastAsia" w:ascii="宋体" w:hAnsi="宋体" w:cs="宋体"/>
          <w:bCs/>
          <w:sz w:val="24"/>
          <w:highlight w:val="none"/>
        </w:rPr>
        <w:t>将</w:t>
      </w:r>
      <w:r>
        <w:rPr>
          <w:rFonts w:hint="eastAsia" w:ascii="宋体" w:hAnsi="宋体" w:cs="宋体"/>
          <w:bCs/>
          <w:sz w:val="24"/>
          <w:szCs w:val="24"/>
          <w:highlight w:val="none"/>
        </w:rPr>
        <w:t>在</w:t>
      </w:r>
      <w:r>
        <w:rPr>
          <w:rFonts w:hint="eastAsia" w:ascii="宋体" w:hAnsi="宋体" w:cs="宋体"/>
          <w:bCs/>
          <w:sz w:val="24"/>
          <w:highlight w:val="none"/>
        </w:rPr>
        <w:t>合法、合理且必要时向管理人</w:t>
      </w:r>
      <w:r>
        <w:rPr>
          <w:rFonts w:hint="eastAsia" w:ascii="宋体" w:hAnsi="宋体" w:cs="宋体"/>
          <w:bCs/>
          <w:sz w:val="24"/>
          <w:szCs w:val="24"/>
          <w:highlight w:val="none"/>
        </w:rPr>
        <w:t>提供投资</w:t>
      </w:r>
      <w:r>
        <w:rPr>
          <w:rFonts w:hint="eastAsia" w:ascii="宋体" w:hAnsi="宋体" w:cs="宋体"/>
          <w:bCs/>
          <w:sz w:val="24"/>
          <w:highlight w:val="none"/>
        </w:rPr>
        <w:t>者身份识别</w:t>
      </w:r>
      <w:r>
        <w:rPr>
          <w:rFonts w:hint="eastAsia" w:ascii="宋体" w:hAnsi="宋体" w:cs="宋体"/>
          <w:bCs/>
          <w:sz w:val="24"/>
          <w:szCs w:val="24"/>
          <w:highlight w:val="none"/>
        </w:rPr>
        <w:t>信息（投资者身份</w:t>
      </w:r>
      <w:r>
        <w:rPr>
          <w:rFonts w:hint="eastAsia" w:ascii="宋体" w:hAnsi="宋体" w:cs="宋体"/>
          <w:bCs/>
          <w:sz w:val="24"/>
          <w:highlight w:val="none"/>
        </w:rPr>
        <w:t>识别</w:t>
      </w:r>
      <w:r>
        <w:rPr>
          <w:rFonts w:hint="eastAsia" w:ascii="宋体" w:hAnsi="宋体" w:cs="宋体"/>
          <w:bCs/>
          <w:sz w:val="24"/>
          <w:szCs w:val="24"/>
          <w:highlight w:val="none"/>
        </w:rPr>
        <w:t>信息包括</w:t>
      </w:r>
      <w:r>
        <w:rPr>
          <w:rFonts w:hint="eastAsia" w:ascii="宋体" w:hAnsi="宋体" w:cs="宋体"/>
          <w:bCs/>
          <w:sz w:val="24"/>
          <w:highlight w:val="none"/>
        </w:rPr>
        <w:t>但不限于</w:t>
      </w:r>
      <w:r>
        <w:rPr>
          <w:rFonts w:hint="eastAsia" w:ascii="宋体" w:hAnsi="宋体" w:cs="宋体"/>
          <w:bCs/>
          <w:sz w:val="24"/>
          <w:szCs w:val="24"/>
          <w:highlight w:val="none"/>
        </w:rPr>
        <w:t>：投资者的姓名、性别、国籍、职业、住所地或者工作单位地址、</w:t>
      </w:r>
      <w:r>
        <w:rPr>
          <w:rFonts w:hint="eastAsia" w:ascii="宋体" w:hAnsi="宋体" w:cs="宋体"/>
          <w:bCs/>
          <w:sz w:val="24"/>
          <w:highlight w:val="none"/>
        </w:rPr>
        <w:t>常居地地址、</w:t>
      </w:r>
      <w:r>
        <w:rPr>
          <w:rFonts w:hint="eastAsia" w:ascii="宋体" w:hAnsi="宋体" w:cs="宋体"/>
          <w:bCs/>
          <w:sz w:val="24"/>
          <w:szCs w:val="24"/>
          <w:highlight w:val="none"/>
        </w:rPr>
        <w:t>联系方式、身份证明文件的种类、号码和有效期限</w:t>
      </w:r>
      <w:r>
        <w:rPr>
          <w:rFonts w:hint="eastAsia" w:ascii="宋体" w:hAnsi="宋体" w:cs="宋体"/>
          <w:bCs/>
          <w:sz w:val="24"/>
          <w:highlight w:val="none"/>
        </w:rPr>
        <w:t>、代理人信息、受益所有人信息</w:t>
      </w:r>
      <w:r>
        <w:rPr>
          <w:rFonts w:hint="eastAsia" w:ascii="宋体" w:hAnsi="宋体" w:cs="宋体"/>
          <w:bCs/>
          <w:sz w:val="24"/>
          <w:szCs w:val="24"/>
          <w:highlight w:val="none"/>
        </w:rPr>
        <w:t>），以及</w:t>
      </w:r>
      <w:r>
        <w:rPr>
          <w:rFonts w:hint="eastAsia" w:ascii="宋体" w:hAnsi="宋体" w:cs="宋体"/>
          <w:bCs/>
          <w:sz w:val="24"/>
          <w:highlight w:val="none"/>
        </w:rPr>
        <w:t>在合法、合理且必要时进一步提供</w:t>
      </w:r>
      <w:r>
        <w:rPr>
          <w:rFonts w:hint="eastAsia" w:ascii="宋体" w:hAnsi="宋体" w:cs="宋体"/>
          <w:bCs/>
          <w:sz w:val="24"/>
          <w:szCs w:val="24"/>
          <w:highlight w:val="none"/>
        </w:rPr>
        <w:t>身份证明文件的复印件和影印件</w:t>
      </w:r>
      <w:r>
        <w:rPr>
          <w:rFonts w:hint="eastAsia" w:ascii="宋体" w:hAnsi="宋体" w:cs="宋体"/>
          <w:bCs/>
          <w:sz w:val="24"/>
          <w:highlight w:val="none"/>
        </w:rPr>
        <w:t>以及其他必要信息</w:t>
      </w:r>
      <w:r>
        <w:rPr>
          <w:rFonts w:hint="eastAsia" w:ascii="宋体" w:hAnsi="宋体" w:cs="宋体"/>
          <w:bCs/>
          <w:sz w:val="24"/>
          <w:szCs w:val="24"/>
          <w:highlight w:val="none"/>
        </w:rPr>
        <w:t>。投资者签署</w:t>
      </w:r>
      <w:r>
        <w:rPr>
          <w:rFonts w:hint="eastAsia" w:ascii="宋体" w:hAnsi="宋体" w:cs="宋体"/>
          <w:bCs/>
          <w:sz w:val="24"/>
          <w:highlight w:val="none"/>
        </w:rPr>
        <w:t>后</w:t>
      </w:r>
      <w:r>
        <w:rPr>
          <w:rFonts w:hint="eastAsia" w:ascii="宋体" w:hAnsi="宋体" w:cs="宋体"/>
          <w:bCs/>
          <w:sz w:val="24"/>
          <w:szCs w:val="24"/>
          <w:highlight w:val="none"/>
        </w:rPr>
        <w:t>即表示同意并配合提供前述信</w:t>
      </w:r>
      <w:r>
        <w:rPr>
          <w:rFonts w:hint="eastAsia" w:ascii="宋体" w:hAnsi="宋体" w:cs="宋体"/>
          <w:bCs/>
          <w:sz w:val="24"/>
          <w:highlight w:val="none"/>
        </w:rPr>
        <w:t>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
          <w:color w:val="auto"/>
          <w:highlight w:val="none"/>
        </w:rPr>
      </w:pPr>
      <w:r>
        <w:rPr>
          <w:rFonts w:hint="eastAsia" w:ascii="宋体" w:hAnsi="宋体" w:cs="宋体"/>
          <w:bCs/>
          <w:sz w:val="24"/>
          <w:highlight w:val="none"/>
        </w:rPr>
        <w:t>风险提示方：杭银理财有限责任公司</w:t>
      </w:r>
    </w:p>
    <w:p>
      <w:pPr>
        <w:rPr>
          <w:rFonts w:hint="eastAsia" w:ascii="宋体" w:hAnsi="宋体" w:cs="宋体"/>
          <w:b/>
          <w:color w:val="auto"/>
          <w:highlight w:val="none"/>
        </w:rPr>
      </w:pPr>
      <w:r>
        <w:rPr>
          <w:rFonts w:hint="eastAsia" w:ascii="宋体" w:hAnsi="宋体" w:cs="宋体"/>
          <w:b/>
          <w:color w:val="auto"/>
          <w:highlight w:val="none"/>
        </w:rPr>
        <w:br w:type="page"/>
      </w:r>
    </w:p>
    <w:p>
      <w:pPr>
        <w:pStyle w:val="17"/>
        <w:pageBreakBefore/>
        <w:widowControl/>
        <w:spacing w:line="360" w:lineRule="auto"/>
        <w:ind w:left="0" w:leftChars="0"/>
        <w:jc w:val="center"/>
        <w:outlineLvl w:val="9"/>
        <w:rPr>
          <w:rFonts w:hint="eastAsia" w:ascii="宋体" w:hAnsi="宋体" w:cs="宋体"/>
          <w:b/>
          <w:color w:val="auto"/>
          <w:highlight w:val="none"/>
        </w:rPr>
      </w:pPr>
      <w:r>
        <w:rPr>
          <w:rFonts w:hint="eastAsia" w:ascii="宋体" w:hAnsi="宋体" w:cs="宋体"/>
          <w:b/>
          <w:color w:val="auto"/>
          <w:highlight w:val="none"/>
        </w:rPr>
        <w:t>投资者确认栏（个人投资者填写）</w:t>
      </w:r>
    </w:p>
    <w:p>
      <w:pPr>
        <w:pStyle w:val="17"/>
        <w:spacing w:line="360" w:lineRule="auto"/>
        <w:jc w:val="both"/>
        <w:rPr>
          <w:rFonts w:hint="eastAsia" w:ascii="宋体" w:hAnsi="宋体" w:cs="宋体"/>
          <w:b/>
          <w:color w:val="auto"/>
          <w:highlight w:val="none"/>
        </w:rPr>
      </w:pPr>
    </w:p>
    <w:p>
      <w:pPr>
        <w:pStyle w:val="17"/>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17"/>
        <w:spacing w:line="360" w:lineRule="auto"/>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17"/>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如超过一年未进行风险承受能力评估或影响本人风险承受能力的因素发生变化，本人将于再次购买理财</w:t>
      </w:r>
      <w:r>
        <w:rPr>
          <w:rFonts w:hint="eastAsia" w:ascii="宋体" w:hAnsi="宋体" w:cs="宋体"/>
          <w:color w:val="auto"/>
          <w:highlight w:val="none"/>
          <w:u w:val="single"/>
          <w:lang w:eastAsia="zh-CN"/>
        </w:rPr>
        <w:t>计划</w:t>
      </w:r>
      <w:r>
        <w:rPr>
          <w:rFonts w:hint="eastAsia" w:ascii="宋体" w:hAnsi="宋体" w:cs="宋体"/>
          <w:color w:val="auto"/>
          <w:highlight w:val="none"/>
          <w:u w:val="single"/>
        </w:rPr>
        <w:t>时及时完成风险承受能力评估。</w:t>
      </w:r>
    </w:p>
    <w:p>
      <w:pPr>
        <w:pStyle w:val="17"/>
        <w:spacing w:line="360" w:lineRule="auto"/>
        <w:ind w:firstLine="472" w:firstLineChars="196"/>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等本</w:t>
      </w:r>
      <w:r>
        <w:rPr>
          <w:rFonts w:hint="eastAsia" w:ascii="宋体" w:hAnsi="宋体" w:cs="宋体"/>
          <w:b/>
          <w:bCs/>
          <w:color w:val="auto"/>
          <w:highlight w:val="none"/>
          <w:u w:val="single"/>
          <w:lang w:eastAsia="zh-CN"/>
        </w:rPr>
        <w:t>理财计划</w:t>
      </w:r>
      <w:r>
        <w:rPr>
          <w:rFonts w:hint="eastAsia" w:ascii="宋体" w:hAnsi="宋体" w:cs="宋体"/>
          <w:b/>
          <w:bCs/>
          <w:color w:val="auto"/>
          <w:highlight w:val="none"/>
          <w:u w:val="single"/>
        </w:rPr>
        <w:t>合同全部内容，自愿且有能力承担投资本理财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的风险。</w:t>
      </w:r>
    </w:p>
    <w:p>
      <w:pPr>
        <w:pStyle w:val="17"/>
        <w:spacing w:line="360" w:lineRule="auto"/>
        <w:ind w:firstLine="472" w:firstLineChars="196"/>
        <w:jc w:val="both"/>
        <w:rPr>
          <w:rFonts w:ascii="宋体" w:hAnsi="宋体" w:cs="宋体"/>
          <w:b/>
          <w:bCs/>
          <w:color w:val="auto"/>
          <w:highlight w:val="none"/>
          <w:u w:val="single"/>
        </w:rPr>
      </w:pPr>
      <w:r>
        <w:rPr>
          <w:rFonts w:hint="eastAsia" w:ascii="宋体" w:hAnsi="宋体" w:cs="宋体"/>
          <w:b/>
          <w:bCs/>
          <w:color w:val="auto"/>
          <w:highlight w:val="none"/>
          <w:u w:val="single"/>
        </w:rPr>
        <w:t>本人购买本理财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的资金为合法自有资金，不存在使用借款、贷款等非自有资金的情形；且系为合法目的投资本理财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17"/>
        <w:spacing w:line="360" w:lineRule="auto"/>
        <w:ind w:firstLine="360" w:firstLineChars="15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“本人已经阅读上述风险揭示，愿意承担投资风险。”</w:t>
      </w:r>
      <w:r>
        <w:rPr>
          <w:rFonts w:hint="eastAsia" w:ascii="宋体" w:hAnsi="宋体" w:cs="宋体"/>
          <w:b/>
          <w:color w:val="auto"/>
          <w:highlight w:val="none"/>
          <w:lang w:eastAsia="zh-CN"/>
        </w:rPr>
        <w:t>如通过线上渠道购买，认</w:t>
      </w:r>
      <w:r>
        <w:rPr>
          <w:rFonts w:hint="eastAsia" w:ascii="宋体" w:hAnsi="宋体" w:cs="宋体"/>
          <w:b/>
          <w:color w:val="auto"/>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auto"/>
          <w:highlight w:val="none"/>
        </w:rPr>
        <w:t xml:space="preserve">） </w:t>
      </w:r>
    </w:p>
    <w:p>
      <w:pPr>
        <w:pStyle w:val="17"/>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pStyle w:val="17"/>
        <w:spacing w:line="360" w:lineRule="auto"/>
        <w:jc w:val="both"/>
        <w:rPr>
          <w:rFonts w:hint="eastAsia" w:ascii="宋体" w:hAnsi="宋体" w:cs="宋体"/>
          <w:color w:val="auto"/>
          <w:highlight w:val="none"/>
        </w:rPr>
      </w:pP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b/>
          <w:kern w:val="0"/>
          <w:szCs w:val="21"/>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br w:type="page"/>
      </w:r>
    </w:p>
    <w:p>
      <w:pPr>
        <w:pStyle w:val="17"/>
        <w:pageBreakBefore/>
        <w:widowControl/>
        <w:spacing w:line="360" w:lineRule="auto"/>
        <w:ind w:firstLine="482" w:firstLineChars="200"/>
        <w:jc w:val="center"/>
        <w:outlineLvl w:val="9"/>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投资者确认栏（机构投资者）</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auto"/>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jc w:val="both"/>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投资者（公章）                          法定代表人或授权代理人（签章）</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auto"/>
          <w:highlight w:val="none"/>
          <w:u w:val="none"/>
          <w:lang w:val="en-US" w:eastAsia="zh-CN"/>
        </w:rPr>
        <w:t>日期：</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年</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月</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日</w:t>
      </w:r>
    </w:p>
    <w:p>
      <w:pPr>
        <w:rPr>
          <w:rFonts w:ascii="宋体" w:hAnsi="宋体" w:cs="宋体"/>
          <w:bCs/>
          <w:color w:val="000000"/>
          <w:sz w:val="24"/>
          <w:highlight w:val="none"/>
        </w:rPr>
      </w:pPr>
      <w:r>
        <w:rPr>
          <w:rFonts w:ascii="宋体" w:hAnsi="宋体" w:cs="宋体"/>
          <w:bCs/>
          <w:color w:val="000000"/>
          <w:sz w:val="24"/>
          <w:highlight w:val="none"/>
        </w:rPr>
        <w:br w:type="page"/>
      </w:r>
    </w:p>
    <w:p>
      <w:pPr>
        <w:pageBreakBefore/>
        <w:widowControl/>
        <w:ind w:left="0" w:leftChars="0" w:firstLine="0" w:firstLineChars="0"/>
        <w:jc w:val="center"/>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 w:bidi="ar-SA"/>
        </w:rPr>
        <w:t>幸福99丰裕固收386天25226期理财</w:t>
      </w:r>
      <w:r>
        <w:rPr>
          <w:rFonts w:hint="eastAsia" w:ascii="宋体" w:hAnsi="宋体" w:cs="宋体"/>
          <w:b/>
          <w:bCs/>
          <w:sz w:val="44"/>
          <w:szCs w:val="44"/>
          <w:highlight w:val="none"/>
        </w:rPr>
        <w:t>产品说明书</w:t>
      </w:r>
    </w:p>
    <w:p>
      <w:pPr>
        <w:jc w:val="center"/>
        <w:rPr>
          <w:rFonts w:hint="eastAsia" w:ascii="宋体" w:hAnsi="宋体" w:cs="宋体"/>
          <w:b/>
          <w:bCs/>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right"/>
        <w:rPr>
          <w:rFonts w:hint="eastAsia" w:ascii="宋体" w:hAnsi="宋体" w:cs="宋体"/>
          <w:bCs/>
          <w:sz w:val="24"/>
          <w:highlight w:val="none"/>
        </w:rPr>
      </w:pPr>
      <w:r>
        <w:rPr>
          <w:rFonts w:hint="eastAsia" w:ascii="宋体" w:hAnsi="宋体" w:cs="宋体"/>
          <w:color w:val="000000"/>
          <w:sz w:val="24"/>
          <w:highlight w:val="none"/>
        </w:rPr>
        <w:t>备案编号:</w:t>
      </w:r>
      <w:r>
        <w:rPr>
          <w:rFonts w:hint="eastAsia" w:ascii="宋体" w:hAnsi="宋体" w:cs="宋体"/>
          <w:bCs/>
          <w:sz w:val="24"/>
          <w:highlight w:val="none"/>
        </w:rPr>
        <w:t>〖</w:t>
      </w:r>
      <w:r>
        <w:rPr>
          <w:rFonts w:hint="eastAsia" w:ascii="宋体" w:hAnsi="宋体" w:eastAsia="宋体" w:cs="宋体"/>
          <w:bCs/>
          <w:kern w:val="2"/>
          <w:sz w:val="24"/>
          <w:szCs w:val="24"/>
          <w:highlight w:val="none"/>
          <w:lang w:val="en-US" w:eastAsia="zh-CN" w:bidi="ar-SA"/>
        </w:rPr>
        <w:t>Z7002225000458</w:t>
      </w:r>
      <w:r>
        <w:rPr>
          <w:rFonts w:hint="eastAsia" w:ascii="宋体" w:hAnsi="宋体" w:cs="宋体"/>
          <w:bCs/>
          <w:sz w:val="24"/>
          <w:highlight w:val="none"/>
        </w:rPr>
        <w:t>〗</w:t>
      </w:r>
    </w:p>
    <w:p>
      <w:pPr>
        <w:spacing w:line="360" w:lineRule="auto"/>
        <w:jc w:val="center"/>
        <w:rPr>
          <w:rFonts w:hint="eastAsia" w:ascii="宋体" w:hAnsi="宋体" w:cs="宋体"/>
          <w:bCs/>
          <w:sz w:val="24"/>
          <w:highlight w:val="none"/>
        </w:rPr>
      </w:pPr>
    </w:p>
    <w:p>
      <w:pPr>
        <w:numPr>
          <w:ilvl w:val="0"/>
          <w:numId w:val="9"/>
        </w:numPr>
        <w:spacing w:line="360" w:lineRule="auto"/>
        <w:jc w:val="left"/>
        <w:outlineLvl w:val="9"/>
        <w:rPr>
          <w:rFonts w:ascii="宋体" w:hAnsi="宋体" w:cs="宋体"/>
          <w:b/>
          <w:sz w:val="24"/>
          <w:highlight w:val="none"/>
        </w:rPr>
      </w:pPr>
      <w:r>
        <w:rPr>
          <w:rFonts w:hint="eastAsia" w:ascii="宋体" w:hAnsi="宋体" w:cs="宋体"/>
          <w:b/>
          <w:sz w:val="24"/>
          <w:highlight w:val="none"/>
        </w:rPr>
        <w:t>重要须知</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本理财计划不等同于银行存款、预期收益型理财产品或其他产品。</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本理财计划仅向依据中华人民共和国有关法律法规及本理财计划产品说明书规定可以购买本理财计划的投资者发售。</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本理财计划是非保本净值型产品。管理人对本理财计划的本金和收益不提供保证承诺。</w:t>
      </w:r>
      <w:r>
        <w:rPr>
          <w:rFonts w:hint="eastAsia" w:ascii="宋体" w:hAnsi="宋体" w:cs="宋体"/>
          <w:bCs/>
          <w:sz w:val="24"/>
          <w:highlight w:val="none"/>
        </w:rPr>
        <w:t>本理财计划主要风险为理财本金及收益风险，在极端市场情况下，投资者将损失本金，请投资者基于自身的独立判断进行投资决策。</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投资协议书》《风险揭示书》《投资者权益须知》</w:t>
      </w:r>
      <w:r>
        <w:rPr>
          <w:rFonts w:hint="eastAsia" w:ascii="宋体" w:hAnsi="宋体" w:cs="宋体"/>
          <w:bCs/>
          <w:sz w:val="24"/>
          <w:highlight w:val="none"/>
          <w:lang w:eastAsia="zh-CN"/>
        </w:rPr>
        <w:t>《理财计划销售协议书》</w:t>
      </w:r>
      <w:r>
        <w:rPr>
          <w:rFonts w:hint="eastAsia" w:ascii="宋体" w:hAnsi="宋体" w:cs="宋体"/>
          <w:bCs/>
          <w:sz w:val="24"/>
          <w:highlight w:val="none"/>
        </w:rPr>
        <w:t>，将共同构成投资者与管理人之间的理财计划</w:t>
      </w:r>
      <w:r>
        <w:rPr>
          <w:rFonts w:hint="eastAsia" w:ascii="宋体" w:hAnsi="宋体" w:cs="宋体"/>
          <w:bCs/>
          <w:sz w:val="24"/>
          <w:highlight w:val="none"/>
          <w:lang w:val="en-US" w:eastAsia="zh-CN"/>
        </w:rPr>
        <w:t>销售文件</w:t>
      </w:r>
      <w:r>
        <w:rPr>
          <w:rFonts w:hint="eastAsia" w:ascii="宋体" w:hAnsi="宋体" w:cs="宋体"/>
          <w:bCs/>
          <w:sz w:val="24"/>
          <w:highlight w:val="none"/>
        </w:rPr>
        <w:t>。</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本理财计划的任何业绩比较基准等类似表述均不具有法律约束性，不代表投资者可能获得的实际收益，不构成管理人对于本理财计划的任何收益承诺。</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在本理财计划存续期内，如因监管政策或法律法规发生变化，在不损害投资者利益的前提下，管理人有权对</w:t>
      </w:r>
      <w:r>
        <w:rPr>
          <w:rFonts w:hint="eastAsia" w:ascii="宋体" w:hAnsi="宋体" w:cs="宋体"/>
          <w:bCs/>
          <w:sz w:val="24"/>
          <w:highlight w:val="none"/>
          <w:lang w:val="en-US" w:eastAsia="zh-CN"/>
        </w:rPr>
        <w:t>因上述变化导致的</w:t>
      </w:r>
      <w:r>
        <w:rPr>
          <w:rFonts w:hint="eastAsia" w:ascii="宋体" w:hAnsi="宋体" w:cs="宋体"/>
          <w:bCs/>
          <w:sz w:val="24"/>
          <w:highlight w:val="none"/>
        </w:rPr>
        <w:t>本理财计划说明书条款</w:t>
      </w:r>
      <w:r>
        <w:rPr>
          <w:rFonts w:hint="eastAsia" w:ascii="宋体" w:hAnsi="宋体" w:cs="宋体"/>
          <w:bCs/>
          <w:sz w:val="24"/>
          <w:highlight w:val="none"/>
          <w:lang w:val="en-US" w:eastAsia="zh-CN"/>
        </w:rPr>
        <w:t>变化</w:t>
      </w:r>
      <w:r>
        <w:rPr>
          <w:rFonts w:hint="eastAsia" w:ascii="宋体" w:hAnsi="宋体" w:cs="宋体"/>
          <w:bCs/>
          <w:sz w:val="24"/>
          <w:highlight w:val="none"/>
        </w:rPr>
        <w:t>进行修订。</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管理人承诺以诚实守信、勤勉尽职的原则，根据本理财计划说明书所载要求管理和运用理财计划资产。</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管理人有权依法对本理财计划产品说明书进行解释。</w:t>
      </w:r>
    </w:p>
    <w:p>
      <w:pPr>
        <w:spacing w:line="360" w:lineRule="auto"/>
        <w:jc w:val="left"/>
        <w:rPr>
          <w:rFonts w:hint="eastAsia" w:ascii="宋体" w:hAnsi="宋体" w:cs="宋体"/>
          <w:bCs/>
          <w:sz w:val="24"/>
          <w:highlight w:val="none"/>
        </w:rPr>
      </w:pPr>
    </w:p>
    <w:p>
      <w:pPr>
        <w:numPr>
          <w:ilvl w:val="0"/>
          <w:numId w:val="11"/>
        </w:numPr>
        <w:spacing w:line="360" w:lineRule="auto"/>
        <w:jc w:val="left"/>
        <w:outlineLvl w:val="9"/>
        <w:rPr>
          <w:rFonts w:ascii="宋体" w:hAnsi="宋体" w:cs="宋体"/>
          <w:b/>
          <w:sz w:val="24"/>
          <w:highlight w:val="none"/>
        </w:rPr>
      </w:pPr>
      <w:r>
        <w:rPr>
          <w:rFonts w:hint="eastAsia" w:ascii="宋体" w:hAnsi="宋体" w:cs="宋体"/>
          <w:b/>
          <w:sz w:val="24"/>
          <w:highlight w:val="none"/>
        </w:rPr>
        <w:t>释义</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17"/>
        <w:numPr>
          <w:ilvl w:val="0"/>
          <w:numId w:val="12"/>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17"/>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auto"/>
          <w:kern w:val="2"/>
          <w:highlight w:val="none"/>
          <w:lang w:eastAsia="zh-CN"/>
        </w:rPr>
        <w:t>。杭银理财有限责任公司简称杭银理财，官网网站为</w:t>
      </w:r>
      <w:r>
        <w:rPr>
          <w:rFonts w:hint="eastAsia" w:ascii="宋体" w:hAnsi="宋体" w:cs="宋体"/>
          <w:bCs/>
          <w:color w:val="auto"/>
          <w:kern w:val="2"/>
          <w:highlight w:val="none"/>
          <w:u w:val="none"/>
          <w:lang w:val="en-US" w:eastAsia="zh-CN"/>
        </w:rPr>
        <w:t>https://</w:t>
      </w:r>
      <w:r>
        <w:rPr>
          <w:rFonts w:hint="eastAsia" w:ascii="宋体" w:hAnsi="宋体" w:cs="宋体"/>
          <w:bCs/>
          <w:color w:val="auto"/>
          <w:kern w:val="2"/>
          <w:highlight w:val="none"/>
          <w:u w:val="none"/>
        </w:rPr>
        <w:fldChar w:fldCharType="begin"/>
      </w:r>
      <w:r>
        <w:rPr>
          <w:rFonts w:hint="eastAsia" w:ascii="宋体" w:hAnsi="宋体" w:cs="宋体"/>
          <w:bCs/>
          <w:color w:val="auto"/>
          <w:kern w:val="2"/>
          <w:highlight w:val="none"/>
          <w:u w:val="none"/>
        </w:rPr>
        <w:instrText xml:space="preserve"> HYPERLINK "http://www.hzbank.com.cn" </w:instrText>
      </w:r>
      <w:r>
        <w:rPr>
          <w:rFonts w:hint="eastAsia" w:ascii="宋体" w:hAnsi="宋体" w:cs="宋体"/>
          <w:bCs/>
          <w:color w:val="auto"/>
          <w:kern w:val="2"/>
          <w:highlight w:val="none"/>
          <w:u w:val="none"/>
        </w:rPr>
        <w:fldChar w:fldCharType="separate"/>
      </w:r>
      <w:r>
        <w:rPr>
          <w:rFonts w:hint="eastAsia" w:ascii="宋体" w:hAnsi="宋体" w:cs="宋体"/>
          <w:bCs/>
          <w:color w:val="auto"/>
          <w:kern w:val="2"/>
          <w:highlight w:val="none"/>
          <w:u w:val="none"/>
        </w:rPr>
        <w:t>www.hzbank</w:t>
      </w:r>
      <w:r>
        <w:rPr>
          <w:rFonts w:hint="eastAsia" w:ascii="宋体" w:hAnsi="宋体" w:cs="宋体"/>
          <w:bCs/>
          <w:color w:val="auto"/>
          <w:kern w:val="2"/>
          <w:highlight w:val="none"/>
          <w:u w:val="none"/>
          <w:lang w:val="en-US" w:eastAsia="zh-CN"/>
        </w:rPr>
        <w:t>wealth</w:t>
      </w:r>
      <w:r>
        <w:rPr>
          <w:rFonts w:hint="eastAsia" w:ascii="宋体" w:hAnsi="宋体" w:cs="宋体"/>
          <w:bCs/>
          <w:color w:val="auto"/>
          <w:kern w:val="2"/>
          <w:highlight w:val="none"/>
          <w:u w:val="none"/>
        </w:rPr>
        <w:t>.com.cn</w:t>
      </w:r>
      <w:r>
        <w:rPr>
          <w:rFonts w:hint="eastAsia" w:ascii="宋体" w:hAnsi="宋体" w:cs="宋体"/>
          <w:bCs/>
          <w:color w:val="auto"/>
          <w:kern w:val="2"/>
          <w:highlight w:val="none"/>
          <w:u w:val="none"/>
        </w:rPr>
        <w:fldChar w:fldCharType="end"/>
      </w:r>
      <w:r>
        <w:rPr>
          <w:rFonts w:hint="eastAsia" w:ascii="宋体" w:hAnsi="宋体" w:cs="宋体"/>
          <w:bCs/>
          <w:color w:val="auto"/>
          <w:kern w:val="2"/>
          <w:highlight w:val="none"/>
          <w:u w:val="none"/>
          <w:lang w:eastAsia="zh-CN"/>
        </w:rPr>
        <w:t>，</w:t>
      </w:r>
      <w:r>
        <w:rPr>
          <w:rFonts w:hint="eastAsia" w:ascii="宋体" w:hAnsi="宋体" w:cs="宋体"/>
          <w:bCs/>
          <w:color w:val="auto"/>
          <w:kern w:val="2"/>
          <w:highlight w:val="none"/>
          <w:u w:val="none"/>
          <w:lang w:val="en-US" w:eastAsia="zh-CN"/>
        </w:rPr>
        <w:t>客服电话400-8950-999</w:t>
      </w:r>
      <w:r>
        <w:rPr>
          <w:rFonts w:hint="eastAsia" w:ascii="宋体" w:hAnsi="宋体" w:cs="宋体"/>
          <w:bCs/>
          <w:color w:val="auto"/>
          <w:kern w:val="2"/>
          <w:highlight w:val="none"/>
          <w:u w:val="none"/>
        </w:rPr>
        <w:t>。</w:t>
      </w:r>
    </w:p>
    <w:p>
      <w:pPr>
        <w:pStyle w:val="17"/>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000000"/>
          <w:kern w:val="2"/>
          <w:highlight w:val="none"/>
          <w:u w:val="none"/>
        </w:rPr>
        <w:fldChar w:fldCharType="begin"/>
      </w:r>
      <w:r>
        <w:rPr>
          <w:rFonts w:hint="eastAsia" w:ascii="宋体" w:hAnsi="宋体" w:cs="宋体"/>
          <w:bCs/>
          <w:color w:val="000000"/>
          <w:kern w:val="2"/>
          <w:highlight w:val="none"/>
          <w:u w:val="none"/>
        </w:rPr>
        <w:instrText xml:space="preserve"> HYPERLINK "http://www.hzbank.com.cn" </w:instrText>
      </w:r>
      <w:r>
        <w:rPr>
          <w:rFonts w:hint="eastAsia" w:ascii="宋体" w:hAnsi="宋体" w:cs="宋体"/>
          <w:bCs/>
          <w:color w:val="000000"/>
          <w:kern w:val="2"/>
          <w:highlight w:val="none"/>
          <w:u w:val="none"/>
        </w:rPr>
        <w:fldChar w:fldCharType="separate"/>
      </w:r>
      <w:r>
        <w:rPr>
          <w:rFonts w:hint="eastAsia" w:ascii="宋体" w:hAnsi="宋体" w:cs="宋体"/>
          <w:bCs/>
          <w:color w:val="000000"/>
          <w:kern w:val="2"/>
          <w:highlight w:val="none"/>
          <w:u w:val="none"/>
        </w:rPr>
        <w:t>www.hzbank.com.cn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rPr>
        <w:t>，客服热线为95398。</w:t>
      </w:r>
    </w:p>
    <w:p>
      <w:pPr>
        <w:pStyle w:val="17"/>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sz w:val="24"/>
          <w:szCs w:val="24"/>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sz w:val="24"/>
          <w:szCs w:val="24"/>
          <w:highlight w:val="none"/>
        </w:rPr>
        <w:t>〗</w:t>
      </w:r>
      <w:r>
        <w:rPr>
          <w:rFonts w:hint="eastAsia" w:ascii="宋体" w:hAnsi="宋体" w:cs="宋体"/>
          <w:bCs/>
          <w:color w:val="auto"/>
          <w:kern w:val="2"/>
          <w:highlight w:val="none"/>
        </w:rPr>
        <w:t>。</w:t>
      </w:r>
    </w:p>
    <w:p>
      <w:pPr>
        <w:pStyle w:val="17"/>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17"/>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17"/>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指对管理人（包括本理财计划管理人、所投资的信托计划/资管计划的管理人/受托人、相关投资顾问等）实施监督管理的机构，包括但不限于中国人民银行、</w:t>
      </w:r>
      <w:r>
        <w:rPr>
          <w:rFonts w:hint="eastAsia" w:ascii="宋体" w:hAnsi="宋体" w:cs="宋体"/>
          <w:bCs/>
          <w:color w:val="auto"/>
          <w:kern w:val="2"/>
          <w:highlight w:val="none"/>
          <w:lang w:eastAsia="zh-CN"/>
        </w:rPr>
        <w:t>国家金融监督管理总局</w:t>
      </w:r>
      <w:r>
        <w:rPr>
          <w:rFonts w:hint="eastAsia" w:ascii="宋体" w:hAnsi="宋体" w:cs="宋体"/>
          <w:bCs/>
          <w:color w:val="auto"/>
          <w:kern w:val="2"/>
          <w:highlight w:val="none"/>
        </w:rPr>
        <w:t>、中国证券监督管理委员会、外汇管理局、银行业理财登记托管中心等。</w:t>
      </w:r>
    </w:p>
    <w:p>
      <w:pPr>
        <w:pStyle w:val="17"/>
        <w:numPr>
          <w:ilvl w:val="0"/>
          <w:numId w:val="12"/>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17"/>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说明书/产品说明书：</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幸福99丰裕固收386天25226期理财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17"/>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幸福99丰裕固收386天25226期理财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17"/>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幸福99丰裕固收386天25226期理财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17"/>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投资协议书：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幸福99丰裕固收386天25226期理财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17"/>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理财</w:t>
      </w:r>
      <w:r>
        <w:rPr>
          <w:rFonts w:hint="eastAsia" w:ascii="宋体" w:hAnsi="宋体" w:cs="宋体"/>
          <w:b/>
          <w:bCs w:val="0"/>
          <w:color w:val="auto"/>
          <w:kern w:val="2"/>
          <w:highlight w:val="none"/>
          <w:lang w:val="en-US" w:eastAsia="zh-CN"/>
        </w:rPr>
        <w:t>计划</w:t>
      </w:r>
      <w:r>
        <w:rPr>
          <w:rFonts w:hint="eastAsia" w:ascii="宋体" w:hAnsi="宋体" w:cs="宋体"/>
          <w:b/>
          <w:bCs w:val="0"/>
          <w:color w:val="auto"/>
          <w:kern w:val="2"/>
          <w:highlight w:val="none"/>
          <w:lang w:eastAsia="zh-CN"/>
        </w:rPr>
        <w:t>销售协议书：</w:t>
      </w:r>
      <w:r>
        <w:rPr>
          <w:rFonts w:hint="eastAsia" w:ascii="宋体" w:hAnsi="宋体" w:cs="宋体"/>
          <w:bCs/>
          <w:color w:val="auto"/>
          <w:kern w:val="2"/>
          <w:highlight w:val="none"/>
          <w:lang w:eastAsia="zh-CN"/>
        </w:rPr>
        <w:t>指作为</w:t>
      </w:r>
      <w:r>
        <w:rPr>
          <w:rFonts w:hint="eastAsia" w:ascii="宋体" w:hAnsi="宋体" w:eastAsia="宋体" w:cs="宋体"/>
          <w:bCs/>
          <w:color w:val="auto"/>
          <w:kern w:val="2"/>
          <w:sz w:val="24"/>
          <w:szCs w:val="24"/>
          <w:highlight w:val="none"/>
          <w:lang w:val="en-US" w:eastAsia="zh-CN" w:bidi="ar-SA"/>
        </w:rPr>
        <w:t>幸福99丰裕固收386天25226期理财</w:t>
      </w:r>
      <w:r>
        <w:rPr>
          <w:rFonts w:hint="eastAsia" w:ascii="宋体" w:hAnsi="宋体" w:cs="宋体"/>
          <w:bCs/>
          <w:color w:val="auto"/>
          <w:kern w:val="2"/>
          <w:highlight w:val="none"/>
          <w:lang w:val="en-US" w:eastAsia="zh-CN"/>
        </w:rPr>
        <w:t>合同不可分割组成部分的理财计划销售协议书，以及对该文件的有效修改与补充。</w:t>
      </w:r>
    </w:p>
    <w:p>
      <w:pPr>
        <w:pStyle w:val="17"/>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合同/销售文件：</w:t>
      </w:r>
      <w:r>
        <w:rPr>
          <w:rFonts w:hint="eastAsia" w:ascii="宋体" w:hAnsi="宋体" w:cs="宋体"/>
          <w:bCs/>
          <w:color w:val="auto"/>
          <w:kern w:val="2"/>
          <w:highlight w:val="none"/>
        </w:rPr>
        <w:t>指《理财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风险揭示书</w:t>
      </w:r>
      <w:r>
        <w:rPr>
          <w:rFonts w:hint="eastAsia" w:ascii="宋体" w:hAnsi="宋体" w:cs="宋体"/>
          <w:bCs/>
          <w:color w:val="auto"/>
          <w:kern w:val="2"/>
          <w:highlight w:val="none"/>
        </w:rPr>
        <w:t>》《</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产品说明</w:t>
      </w:r>
      <w:r>
        <w:rPr>
          <w:rFonts w:hint="eastAsia" w:ascii="宋体" w:hAnsi="宋体" w:cs="宋体"/>
          <w:bCs/>
          <w:color w:val="auto"/>
          <w:kern w:val="2"/>
          <w:highlight w:val="none"/>
        </w:rPr>
        <w:t>书》《投资者权益须知》《理财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rPr>
        <w:t>投资协议书》</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销售协议书》五</w:t>
      </w:r>
      <w:r>
        <w:rPr>
          <w:rFonts w:hint="eastAsia" w:ascii="宋体" w:hAnsi="宋体" w:cs="宋体"/>
          <w:bCs/>
          <w:color w:val="auto"/>
          <w:kern w:val="2"/>
          <w:highlight w:val="none"/>
        </w:rPr>
        <w:t>个部分。</w:t>
      </w:r>
    </w:p>
    <w:p>
      <w:pPr>
        <w:pStyle w:val="17"/>
        <w:numPr>
          <w:ilvl w:val="0"/>
          <w:numId w:val="12"/>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幸福99丰裕固收386天25226期理财</w:t>
      </w:r>
      <w:r>
        <w:rPr>
          <w:rFonts w:hint="eastAsia" w:ascii="宋体" w:hAnsi="宋体" w:cs="宋体"/>
          <w:bCs/>
          <w:highlight w:val="none"/>
        </w:rPr>
        <w:t>。</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17"/>
        <w:numPr>
          <w:ilvl w:val="0"/>
          <w:numId w:val="15"/>
        </w:numPr>
        <w:adjustRightInd/>
        <w:spacing w:line="360" w:lineRule="auto"/>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17"/>
        <w:numPr>
          <w:ilvl w:val="0"/>
          <w:numId w:val="15"/>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w:t>
      </w:r>
      <w:r>
        <w:rPr>
          <w:rFonts w:hint="eastAsia" w:ascii="宋体" w:hAnsi="宋体" w:cs="宋体"/>
          <w:szCs w:val="21"/>
          <w:highlight w:val="none"/>
        </w:rPr>
        <w:t>〖</w:t>
      </w:r>
      <w:r>
        <w:rPr>
          <w:rFonts w:hint="eastAsia" w:ascii="宋体" w:hAnsi="宋体" w:cs="宋体"/>
          <w:bCs/>
          <w:color w:val="000000"/>
          <w:highlight w:val="none"/>
        </w:rPr>
        <w:t>上海证券交易所、深圳证券交易所</w:t>
      </w:r>
      <w:r>
        <w:rPr>
          <w:rFonts w:hint="eastAsia" w:ascii="宋体" w:hAnsi="宋体" w:cs="宋体"/>
          <w:szCs w:val="21"/>
          <w:highlight w:val="none"/>
        </w:rPr>
        <w:t>〗</w:t>
      </w:r>
      <w:r>
        <w:rPr>
          <w:rFonts w:hint="eastAsia" w:ascii="宋体" w:hAnsi="宋体" w:cs="宋体"/>
          <w:bCs/>
          <w:highlight w:val="none"/>
        </w:rPr>
        <w:t>的正常交易日。</w:t>
      </w:r>
      <w:r>
        <w:rPr>
          <w:rFonts w:hint="eastAsia" w:ascii="宋体" w:hAnsi="宋体" w:cs="宋体"/>
          <w:bCs/>
          <w:highlight w:val="none"/>
          <w:lang w:val="en-US" w:eastAsia="zh-CN"/>
        </w:rPr>
        <w:t>如涉及到监管条例部分，统一以监管条例表述替代。</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w:t>
      </w:r>
      <w:r>
        <w:rPr>
          <w:rFonts w:hint="eastAsia" w:ascii="宋体" w:hAnsi="宋体" w:cs="宋体"/>
          <w:bCs/>
          <w:color w:val="auto"/>
          <w:kern w:val="2"/>
          <w:highlight w:val="none"/>
          <w:lang w:eastAsia="zh-CN"/>
        </w:rPr>
        <w:t>计划</w:t>
      </w:r>
      <w:r>
        <w:rPr>
          <w:rFonts w:hint="eastAsia" w:ascii="宋体" w:hAnsi="宋体" w:cs="宋体"/>
          <w:bCs/>
          <w:color w:val="auto"/>
          <w:kern w:val="2"/>
          <w:highlight w:val="none"/>
        </w:rPr>
        <w:t>成立后，理财计划不接受投资者申购赎回的时间。</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如因国家相关主管部门临时调整节假日安排，导致原定成立日、到期日、估值日等日期安排发生变化的，原则上采用顺延方式对原定日期进行调整，如有特殊安排，以管理人对外披露的公告为准。</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w:t>
      </w:r>
      <w:r>
        <w:rPr>
          <w:rFonts w:hint="eastAsia" w:ascii="宋体" w:hAnsi="宋体" w:cs="宋体"/>
          <w:bCs/>
          <w:highlight w:val="none"/>
          <w:lang w:eastAsia="zh-CN"/>
        </w:rPr>
        <w:t>销售服务费</w:t>
      </w:r>
      <w:r>
        <w:rPr>
          <w:rFonts w:hint="eastAsia" w:ascii="宋体" w:hAnsi="宋体" w:cs="宋体"/>
          <w:bCs/>
          <w:highlight w:val="none"/>
        </w:rPr>
        <w:t>、托管人收取的托管费、交易费用、执行费用等相关费用，具体以</w:t>
      </w:r>
      <w:r>
        <w:rPr>
          <w:rFonts w:hint="eastAsia" w:ascii="宋体" w:hAnsi="宋体" w:cs="宋体"/>
          <w:bCs/>
          <w:highlight w:val="none"/>
          <w:lang w:eastAsia="zh-CN"/>
        </w:rPr>
        <w:t>实际发生</w:t>
      </w:r>
      <w:r>
        <w:rPr>
          <w:rFonts w:hint="eastAsia" w:ascii="宋体" w:hAnsi="宋体" w:cs="宋体"/>
          <w:bCs/>
          <w:highlight w:val="none"/>
        </w:rPr>
        <w:t>为准。</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bCs w:val="0"/>
          <w:highlight w:val="none"/>
          <w:lang w:eastAsia="zh-CN"/>
        </w:rPr>
        <w:t>其他费用：</w:t>
      </w:r>
      <w:r>
        <w:rPr>
          <w:rFonts w:hint="eastAsia" w:ascii="宋体" w:hAnsi="宋体" w:cs="宋体"/>
          <w:b w:val="0"/>
          <w:bCs/>
          <w:highlight w:val="none"/>
          <w:lang w:eastAsia="zh-CN"/>
        </w:rPr>
        <w:t>指除理财计划费用以外，理财计划涉及的其他相关费用，包括但不限于认购费、申购费、赎回费、投顾费等，具体以</w:t>
      </w:r>
      <w:r>
        <w:rPr>
          <w:rFonts w:hint="eastAsia" w:ascii="宋体" w:hAnsi="宋体" w:cs="宋体"/>
          <w:bCs/>
          <w:highlight w:val="none"/>
        </w:rPr>
        <w:t>本说明书第八条约定</w:t>
      </w:r>
      <w:r>
        <w:rPr>
          <w:rFonts w:hint="eastAsia" w:ascii="宋体" w:hAnsi="宋体" w:cs="宋体"/>
          <w:b w:val="0"/>
          <w:bCs/>
          <w:highlight w:val="none"/>
          <w:lang w:eastAsia="zh-CN"/>
        </w:rPr>
        <w:t>为准。</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17"/>
        <w:numPr>
          <w:ilvl w:val="0"/>
          <w:numId w:val="15"/>
        </w:numPr>
        <w:adjustRightInd/>
        <w:spacing w:line="360" w:lineRule="auto"/>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流动性</w:t>
      </w:r>
      <w:r>
        <w:rPr>
          <w:rFonts w:hint="eastAsia"/>
          <w:b/>
          <w:bCs w:val="0"/>
          <w:highlight w:val="none"/>
          <w:lang w:val="en-US" w:eastAsia="zh-CN"/>
        </w:rPr>
        <w:t>受限资产：</w:t>
      </w:r>
      <w:r>
        <w:rPr>
          <w:rFonts w:hint="eastAsia"/>
          <w:highlight w:val="none"/>
          <w:lang w:val="en-US" w:eastAsia="zh-CN"/>
        </w:rPr>
        <w:t>是指由于法律法规、监管、合同或操作障碍等原因无法以合理价格予以变现的资产，包括到期日在</w:t>
      </w:r>
      <w:r>
        <w:rPr>
          <w:rFonts w:hint="eastAsia" w:ascii="宋体" w:hAnsi="宋体" w:eastAsia="宋体" w:cs="宋体"/>
          <w:highlight w:val="none"/>
          <w:lang w:val="en-US" w:eastAsia="zh-CN"/>
        </w:rPr>
        <w:t>10</w:t>
      </w:r>
      <w:r>
        <w:rPr>
          <w:rFonts w:hint="eastAsia"/>
          <w:highlight w:val="none"/>
          <w:lang w:val="en-US" w:eastAsia="zh-CN"/>
        </w:rPr>
        <w:t>个交易日以上的逆回购与银行定期存款（含协议约定有条件提前支取的银行存款）、距可赎回日在</w:t>
      </w:r>
      <w:r>
        <w:rPr>
          <w:rFonts w:hint="eastAsia" w:ascii="宋体" w:hAnsi="宋体" w:eastAsia="宋体" w:cs="宋体"/>
          <w:highlight w:val="none"/>
          <w:lang w:val="en-US" w:eastAsia="zh-CN"/>
        </w:rPr>
        <w:t>10</w:t>
      </w:r>
      <w:r>
        <w:rPr>
          <w:rFonts w:hint="eastAsia"/>
          <w:highlight w:val="none"/>
          <w:lang w:val="en-US" w:eastAsia="zh-CN"/>
        </w:rPr>
        <w:t>个交易日以上的资产管理产品、停牌股票、流通受限的新股及非公开发行股票、资产支持证券（票据），因发行人债务违约无法进行转让或交易的债券和非金融企业债务融资工具，以及其他流动性受限资产。</w:t>
      </w:r>
    </w:p>
    <w:p>
      <w:pPr>
        <w:pStyle w:val="17"/>
        <w:numPr>
          <w:ilvl w:val="0"/>
          <w:numId w:val="15"/>
        </w:numPr>
        <w:adjustRightInd/>
        <w:spacing w:line="360" w:lineRule="auto"/>
        <w:rPr>
          <w:rFonts w:hint="eastAsia" w:ascii="宋体" w:hAnsi="宋体" w:cs="宋体"/>
          <w:b/>
          <w:bCs w:val="0"/>
          <w:color w:val="auto"/>
          <w:kern w:val="2"/>
          <w:highlight w:val="none"/>
        </w:rPr>
      </w:pPr>
      <w:r>
        <w:rPr>
          <w:rFonts w:hint="eastAsia"/>
          <w:b/>
          <w:bCs/>
          <w:highlight w:val="none"/>
          <w:lang w:val="en-US" w:eastAsia="zh-CN"/>
        </w:rPr>
        <w:t>投资退出期：</w:t>
      </w:r>
      <w:r>
        <w:rPr>
          <w:rFonts w:hint="eastAsia" w:ascii="Times New Roman" w:hAnsi="Times New Roman" w:eastAsia="宋体" w:cs="Times New Roman"/>
          <w:highlight w:val="none"/>
          <w:lang w:val="en-US" w:eastAsia="zh-CN"/>
        </w:rPr>
        <w:t>是指理财计划临近到期前，管理人通过资产变现用以进行资金交割清算的准备期。</w:t>
      </w:r>
    </w:p>
    <w:p>
      <w:pPr>
        <w:pStyle w:val="17"/>
        <w:numPr>
          <w:ilvl w:val="0"/>
          <w:numId w:val="12"/>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17"/>
        <w:numPr>
          <w:ilvl w:val="0"/>
          <w:numId w:val="16"/>
        </w:numPr>
        <w:adjustRightInd/>
        <w:spacing w:line="360" w:lineRule="auto"/>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17"/>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17"/>
        <w:numPr>
          <w:ilvl w:val="0"/>
          <w:numId w:val="1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17"/>
        <w:numPr>
          <w:ilvl w:val="0"/>
          <w:numId w:val="17"/>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摆动定价机制：</w:t>
      </w:r>
      <w:r>
        <w:rPr>
          <w:rFonts w:hint="eastAsia" w:ascii="宋体" w:hAnsi="宋体" w:cs="宋体"/>
          <w:b w:val="0"/>
          <w:bCs/>
          <w:color w:val="auto"/>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17"/>
        <w:numPr>
          <w:ilvl w:val="0"/>
          <w:numId w:val="17"/>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短期赎回费机制：</w:t>
      </w:r>
      <w:r>
        <w:rPr>
          <w:rFonts w:hint="eastAsia" w:ascii="宋体" w:hAnsi="宋体" w:cs="宋体"/>
          <w:b w:val="0"/>
          <w:bCs/>
          <w:color w:val="auto"/>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17"/>
        <w:adjustRightInd/>
        <w:spacing w:line="360" w:lineRule="auto"/>
        <w:rPr>
          <w:rFonts w:hint="eastAsia" w:ascii="宋体" w:hAnsi="宋体" w:cs="宋体"/>
          <w:bCs/>
          <w:color w:val="auto"/>
          <w:kern w:val="2"/>
          <w:highlight w:val="none"/>
        </w:rPr>
      </w:pPr>
    </w:p>
    <w:p>
      <w:pPr>
        <w:pStyle w:val="17"/>
        <w:numPr>
          <w:ilvl w:val="0"/>
          <w:numId w:val="18"/>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w:t>
      </w:r>
      <w:r>
        <w:rPr>
          <w:rFonts w:hint="eastAsia" w:ascii="宋体" w:hAnsi="宋体" w:eastAsia="宋体" w:cs="宋体"/>
          <w:b/>
          <w:color w:val="auto"/>
          <w:kern w:val="2"/>
          <w:sz w:val="24"/>
          <w:szCs w:val="24"/>
          <w:highlight w:val="none"/>
          <w:lang w:val="en-US" w:eastAsia="zh-CN" w:bidi="ar-SA"/>
        </w:rPr>
        <w:t>R2</w:t>
      </w:r>
      <w:r>
        <w:rPr>
          <w:rFonts w:hint="eastAsia" w:ascii="宋体" w:hAnsi="宋体" w:cs="宋体"/>
          <w:b/>
          <w:color w:val="auto"/>
          <w:kern w:val="2"/>
          <w:highlight w:val="none"/>
        </w:rPr>
        <w:t>〗，〖</w:t>
      </w:r>
      <w:r>
        <w:rPr>
          <w:rFonts w:hint="eastAsia" w:ascii="宋体" w:hAnsi="宋体" w:eastAsia="宋体" w:cs="宋体"/>
          <w:b/>
          <w:color w:val="auto"/>
          <w:kern w:val="2"/>
          <w:sz w:val="24"/>
          <w:szCs w:val="24"/>
          <w:highlight w:val="none"/>
          <w:lang w:val="en-US" w:eastAsia="zh-CN" w:bidi="ar-SA"/>
        </w:rPr>
        <w:t>中低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8"/>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内部风险评级</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风险程度</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R1</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保守型、</w:t>
            </w: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w:t>
            </w:r>
            <w:r>
              <w:rPr>
                <w:rFonts w:hint="eastAsia" w:ascii="宋体" w:hAnsi="宋体" w:cs="宋体"/>
                <w:bCs/>
                <w:color w:val="auto"/>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R2</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R3</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R4</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R5</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进取型</w:t>
            </w:r>
          </w:p>
        </w:tc>
      </w:tr>
    </w:tbl>
    <w:p>
      <w:pPr>
        <w:pStyle w:val="17"/>
        <w:adjustRightInd/>
        <w:spacing w:line="360" w:lineRule="auto"/>
        <w:ind w:firstLine="480" w:firstLineChars="200"/>
        <w:rPr>
          <w:rFonts w:hint="default" w:ascii="宋体" w:hAnsi="宋体" w:cs="宋体"/>
          <w:bCs/>
          <w:color w:val="auto"/>
          <w:kern w:val="2"/>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pStyle w:val="17"/>
        <w:adjustRightInd/>
        <w:spacing w:line="360" w:lineRule="auto"/>
        <w:rPr>
          <w:rFonts w:hint="eastAsia" w:ascii="宋体" w:hAnsi="宋体" w:cs="宋体"/>
          <w:bCs/>
          <w:color w:val="auto"/>
          <w:kern w:val="2"/>
          <w:highlight w:val="none"/>
          <w:lang w:eastAsia="zh-CN"/>
        </w:rPr>
      </w:pPr>
    </w:p>
    <w:p>
      <w:pPr>
        <w:pStyle w:val="17"/>
        <w:numPr>
          <w:ilvl w:val="0"/>
          <w:numId w:val="18"/>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8"/>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幸福99丰裕固收386天25226期理财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Cs w:val="21"/>
                <w:highlight w:val="none"/>
              </w:rPr>
            </w:pPr>
            <w:r>
              <w:rPr>
                <w:rFonts w:hint="eastAsia" w:ascii="宋体" w:hAnsi="宋体" w:cs="宋体"/>
                <w:szCs w:val="21"/>
                <w:highlight w:val="none"/>
                <w:lang w:eastAsia="zh-CN"/>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Cs w:val="21"/>
                <w:highlight w:val="none"/>
              </w:rPr>
            </w:pPr>
            <w:r>
              <w:rPr>
                <w:rFonts w:hint="eastAsia" w:ascii="宋体" w:hAnsi="宋体" w:eastAsia="宋体" w:cs="宋体"/>
                <w:kern w:val="2"/>
                <w:sz w:val="21"/>
                <w:szCs w:val="21"/>
                <w:highlight w:val="none"/>
                <w:lang w:val="en-US" w:eastAsia="zh-CN" w:bidi="ar-SA"/>
              </w:rPr>
              <w:t>丰裕固收25226期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Cs w:val="21"/>
                <w:highlight w:val="none"/>
              </w:rPr>
            </w:pPr>
            <w:r>
              <w:rPr>
                <w:rFonts w:hint="eastAsia" w:ascii="宋体" w:hAnsi="宋体" w:cs="宋体"/>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FYG25226</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Z7002225000458</w:t>
            </w:r>
            <w:r>
              <w:rPr>
                <w:rFonts w:hint="eastAsia" w:ascii="宋体" w:hAnsi="宋体" w:cs="宋体"/>
                <w:color w:val="000000"/>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本理财计划适合</w:t>
            </w:r>
            <w:r>
              <w:rPr>
                <w:rFonts w:hint="eastAsia" w:ascii="宋体" w:hAnsi="宋体" w:eastAsia="宋体" w:cs="宋体"/>
                <w:b/>
                <w:bCs/>
                <w:color w:val="000000"/>
                <w:kern w:val="2"/>
                <w:sz w:val="21"/>
                <w:szCs w:val="21"/>
                <w:highlight w:val="none"/>
                <w:lang w:val="en-US" w:eastAsia="zh-CN" w:bidi="ar-SA"/>
              </w:rPr>
              <w:t>〖机构投资者〗以及〖稳健型、平衡型、成长型、进取型〗的个人投资者</w:t>
            </w:r>
            <w:r>
              <w:rPr>
                <w:rFonts w:hint="eastAsia" w:ascii="宋体" w:hAnsi="宋体" w:cs="宋体"/>
                <w:b/>
                <w:color w:val="000000"/>
                <w:szCs w:val="21"/>
                <w:highlight w:val="none"/>
              </w:rPr>
              <w:t>。</w:t>
            </w:r>
            <w:r>
              <w:rPr>
                <w:rFonts w:hint="eastAsia" w:ascii="宋体" w:hAnsi="宋体" w:cs="宋体"/>
                <w:bCs/>
                <w:color w:val="auto"/>
                <w:kern w:val="2"/>
                <w:highlight w:val="none"/>
                <w:lang w:eastAsia="zh-CN"/>
              </w:rPr>
              <w:t>投资者风险承受能力评级水平以销售机构评估为准。</w:t>
            </w:r>
          </w:p>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其中：</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A份额（销售代码〖FYG25226A〗）：普通个人投资者和机构客户。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B份额（销售代码〖FYG25226B〗）：普通个人投资者和机构客户。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C份额（销售代码〖FYG25226C〗）：普通个人投资者和机构客户。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D份额（销售代码〖FYG25226D〗）：普通个人投资者和机构客户。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E份额（销售代码〖FYG25226E〗）：机构客户。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F份额（销售代码〖FYG25226F〗）：普通个人投资者和机构客户。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G份额（汉口银行行庆专属）（销售代码〖FYG25226G〗）：普通个人投资者和机构客户。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H份额（北行专属）（销售代码〖FYG25226H〗）：普通个人投资者和机构客户。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I份额（爽盈优选）（销售代码〖FYG25226I〗）：普通个人投资者和机构客户。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J份额（销售代码〖FYG25226J〗）：普通个人投资者和机构客户。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K份额（鲲鹏优选）（销售代码〖FYG25226K〗）：普通个人投资者和机构客户。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L份额（东农专属）（销售代码〖FYG25226L〗）：普通个人投资者和机构客户。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M份额（天府·优选）（销售代码〖FYG25226M〗）：普通个人投资者和机构客户。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N份额惠享款（长长财富·专属）（销售代码〖FYG25226N〗）：普通个人投资者和机构客户。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O份额（销售代码〖FYG25226O〗）：普通个人投资者和机构客户。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P份额（芙蓉锦程·优选）（销售代码〖FYG25226P〗）：普通个人投资者和机构客户。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Q份额（兰州银行开门红专属）（销售代码〖FYG25226Q〗）：普通个人投资者和机构客户。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R份额惠享款（吉行十二号）（销售代码〖FYG25226R〗）：普通个人投资者和机构客户。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S份额惠享款（齐鲁-逢六有约）（销售代码〖FYG25226S〗）：普通个人投资者和机构客户。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T份额惠享款（私行周年专属理财）（销售代码〖FYG25226T〗）：普通个人投资者和机构客户。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U份额惠享款（销售代码〖FYG25226U〗）：普通个人投资者和机构客户。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V份额（金芙蓉专属）（销售代码〖FYG25226V〗）：普通个人投资者和机构客户。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W份额惠享款（销售代码〖FYG25226W〗）：普通个人投资者和机构客户。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X份额（销售代码〖FYG25226X〗）：普通个人投资者。</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Y份额惠享款（销售代码〖FYG25226Y〗）：普通个人投资者和机构客户。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Z份额惠享款（销售代码〖FYG25226Z〗）：普通个人投资者和机构客户。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固定收益类</w:t>
            </w:r>
            <w:r>
              <w:rPr>
                <w:rFonts w:hint="eastAsia" w:ascii="宋体" w:hAnsi="宋体" w:cs="宋体"/>
                <w:szCs w:val="21"/>
                <w:highlight w:val="none"/>
              </w:rPr>
              <w:t>〗</w:t>
            </w:r>
            <w:r>
              <w:rPr>
                <w:rFonts w:hint="eastAsia" w:ascii="宋体" w:hAnsi="宋体" w:cs="宋体"/>
                <w:color w:val="000000"/>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否</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w:t>
            </w:r>
            <w:r>
              <w:rPr>
                <w:rFonts w:hint="eastAsia" w:ascii="宋体" w:hAnsi="宋体" w:cs="宋体"/>
                <w:color w:val="000000"/>
                <w:szCs w:val="21"/>
                <w:highlight w:val="none"/>
              </w:rPr>
              <w:t>全国</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可通过</w:t>
            </w:r>
            <w:r>
              <w:rPr>
                <w:rFonts w:hint="eastAsia" w:ascii="宋体" w:hAnsi="宋体" w:cs="宋体"/>
                <w:color w:val="000000"/>
                <w:szCs w:val="21"/>
                <w:highlight w:val="none"/>
                <w:lang w:eastAsia="zh-CN"/>
              </w:rPr>
              <w:t>杭银理财直销渠道和代理</w:t>
            </w:r>
            <w:r>
              <w:rPr>
                <w:rFonts w:hint="eastAsia" w:ascii="宋体" w:hAnsi="宋体" w:cs="宋体"/>
                <w:color w:val="000000"/>
                <w:szCs w:val="21"/>
                <w:highlight w:val="none"/>
              </w:rPr>
              <w:t>销售机构的〖营业网点、网上银行、手机银行〗等渠道购买</w:t>
            </w:r>
            <w:r>
              <w:rPr>
                <w:rFonts w:hint="eastAsia" w:ascii="宋体" w:hAnsi="宋体" w:cs="宋体"/>
                <w:color w:val="000000"/>
                <w:szCs w:val="21"/>
                <w:highlight w:val="none"/>
                <w:lang w:eastAsia="zh-CN"/>
              </w:rPr>
              <w:t>，通过</w:t>
            </w:r>
            <w:r>
              <w:rPr>
                <w:rFonts w:hint="eastAsia" w:ascii="宋体" w:hAnsi="宋体" w:cs="宋体"/>
                <w:color w:val="000000"/>
                <w:sz w:val="21"/>
                <w:szCs w:val="21"/>
                <w:highlight w:val="none"/>
                <w:lang w:val="en-US" w:eastAsia="zh-CN"/>
              </w:rPr>
              <w:t>代理销售机构购买的，具体销售渠道以代理销售机构披露为准</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人民币</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〖40〗亿元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2025</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12</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16</w:t>
            </w:r>
            <w:r>
              <w:rPr>
                <w:rFonts w:hint="eastAsia" w:ascii="宋体" w:hAnsi="宋体" w:cs="宋体"/>
                <w:color w:val="000000"/>
                <w:szCs w:val="21"/>
                <w:highlight w:val="none"/>
              </w:rPr>
              <w:t>〗日-〖</w:t>
            </w:r>
            <w:r>
              <w:rPr>
                <w:rFonts w:hint="eastAsia" w:ascii="宋体" w:hAnsi="宋体" w:eastAsia="宋体" w:cs="宋体"/>
                <w:color w:val="000000"/>
                <w:kern w:val="2"/>
                <w:sz w:val="21"/>
                <w:szCs w:val="21"/>
                <w:highlight w:val="none"/>
                <w:lang w:val="en-US" w:eastAsia="zh-CN" w:bidi="ar-SA"/>
              </w:rPr>
              <w:t>2025</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12</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22</w:t>
            </w:r>
            <w:r>
              <w:rPr>
                <w:rFonts w:hint="eastAsia" w:ascii="宋体" w:hAnsi="宋体" w:cs="宋体"/>
                <w:color w:val="000000"/>
                <w:szCs w:val="21"/>
                <w:highlight w:val="none"/>
              </w:rPr>
              <w:t>〗日</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认购期首日〖9：00〗至认购结束日〖17：00〗</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2025</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12</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23</w:t>
            </w:r>
            <w:r>
              <w:rPr>
                <w:rFonts w:hint="eastAsia" w:ascii="宋体" w:hAnsi="宋体" w:cs="宋体"/>
                <w:color w:val="00000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到期日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2027</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1</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13</w:t>
            </w:r>
            <w:r>
              <w:rPr>
                <w:rFonts w:hint="eastAsia" w:ascii="宋体" w:hAnsi="宋体" w:cs="宋体"/>
                <w:color w:val="000000"/>
                <w:szCs w:val="21"/>
                <w:highlight w:val="none"/>
              </w:rPr>
              <w:t>〗日，若到期日为非工作日则顺延至下一个</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386</w:t>
            </w:r>
            <w:r>
              <w:rPr>
                <w:rFonts w:hint="eastAsia" w:ascii="宋体" w:hAnsi="宋体" w:cs="宋体"/>
                <w:color w:val="000000"/>
                <w:szCs w:val="21"/>
                <w:highlight w:val="none"/>
              </w:rPr>
              <w:t>〗天（实际理财期限受制于管理人提前终止权等条款）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认购起点金额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0"/>
                <w:sz w:val="21"/>
                <w:szCs w:val="21"/>
                <w:highlight w:val="none"/>
                <w:lang w:val="en-US" w:eastAsia="zh-CN" w:bidi="ar-SA"/>
              </w:rPr>
              <w:t>〖A份额〗起点〖1〗元整，超过认购起点部分，应为〖1〗元的整数倍。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〖B份额〗起点〖1〗元整，超过认购起点部分，应为〖1〗元的整数倍。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〖C份额〗起点〖1〗元整，超过认购起点部分，应为〖1〗元的整数倍。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〖D份额〗起点〖1〗元整，超过认购起点部分，应为〖1〗元的整数倍。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〖E份额〗起点〖1〗元整，超过认购起点部分，应为〖1〗元的整数倍。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〖F份额〗起点〖1〗元整，超过认购起点部分，应为〖1〗元的整数倍。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〖G份额〗起点〖20〗万元整，超过认购起点部分，应为〖1〗元的整数倍。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〖H份额〗起点〖1〗元整，超过认购起点部分，应为〖1〗元的整数倍。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〖I份额〗起点〖1〗元整，超过认购起点部分，应为〖1〗元的整数倍。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〖J份额〗起点〖1〗元整，超过认购起点部分，应为〖1〗元的整数倍。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〖K份额〗起点〖1〗元整，超过认购起点部分，应为〖1〗元的整数倍。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〖L份额〗起点〖1〗元整，超过认购起点部分，应为〖1〗元的整数倍。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〖M份额〗起点〖1〗元整，超过认购起点部分，应为〖1〗元的整数倍。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〖N份额〗起点〖1〗元整，超过认购起点部分，应为〖1〗元的整数倍。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〖O份额〗起点〖1〗元整，超过认购起点部分，应为〖1〗元的整数倍。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〖P份额〗起点〖1〗元整，超过认购起点部分，应为〖1〗元的整数倍。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〖Q份额〗起点〖20〗万元整，超过认购起点部分，应为〖1〗元的整数倍。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〖R份额〗起点〖1〗元整，超过认购起点部分，应为〖1〗元的整数倍。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〖S份额〗起点〖1〗元整，超过认购起点部分，应为〖1〗元的整数倍。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〖T份额〗起点〖1〗元整，超过认购起点部分，应为〖1〗元的整数倍。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〖U份额〗起点〖10〗万元整，超过认购起点部分，应为〖1〗元的整数倍。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〖V份额〗起点〖100〗万元整，超过认购起点部分，应为〖1〗元的整数倍。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〖W份额〗起点〖1〗元整，超过认购起点部分，应为〖1〗元的整数倍。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〖X份额〗起点〖1〗元整，超过认购起点部分，应为〖1〗元的整数倍。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〖Y份额〗起点〖1〗元整，超过认购起点部分，应为〖1〗元的整数倍。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〖Z份额〗起点〖1〗元整，超过认购起点部分，应为〖1〗元的整数倍。</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color w:val="000000"/>
                <w:kern w:val="2"/>
                <w:sz w:val="21"/>
                <w:szCs w:val="21"/>
                <w:highlight w:val="none"/>
                <w:lang w:val="en-US" w:eastAsia="zh-CN" w:bidi="ar-SA"/>
              </w:rPr>
              <w:t>〖3〗千万元</w:t>
            </w:r>
            <w:r>
              <w:rPr>
                <w:rFonts w:hint="eastAsia" w:ascii="宋体" w:hAnsi="宋体" w:cs="宋体"/>
                <w:color w:val="000000"/>
                <w:szCs w:val="21"/>
                <w:highlight w:val="none"/>
              </w:rPr>
              <w:t>，则管理人可宣布本理财计划不成立并在原定理财计划成立日后</w:t>
            </w:r>
            <w:r>
              <w:rPr>
                <w:rFonts w:hint="eastAsia" w:ascii="宋体" w:hAnsi="宋体" w:cs="宋体"/>
                <w:szCs w:val="21"/>
                <w:highlight w:val="none"/>
              </w:rPr>
              <w:t>〖</w:t>
            </w:r>
            <w:r>
              <w:rPr>
                <w:rFonts w:hint="eastAsia" w:ascii="宋体" w:hAnsi="宋体" w:cs="宋体"/>
                <w:color w:val="000000"/>
                <w:szCs w:val="21"/>
                <w:highlight w:val="none"/>
              </w:rPr>
              <w:t>2</w:t>
            </w:r>
            <w:r>
              <w:rPr>
                <w:rFonts w:hint="eastAsia" w:ascii="宋体" w:hAnsi="宋体" w:cs="宋体"/>
                <w:szCs w:val="21"/>
                <w:highlight w:val="none"/>
              </w:rPr>
              <w:t>〗</w:t>
            </w:r>
            <w:r>
              <w:rPr>
                <w:rFonts w:hint="eastAsia" w:ascii="宋体" w:hAnsi="宋体" w:cs="宋体"/>
                <w:color w:val="000000"/>
                <w:szCs w:val="21"/>
                <w:highlight w:val="none"/>
              </w:rPr>
              <w:t>个工作日内通过管理人或销售机构发布不成立信息，投资者购买的理财资金将在原定成立日后2个工作日内划转至投资者指定理财账户，</w:t>
            </w:r>
            <w:r>
              <w:rPr>
                <w:rFonts w:hint="eastAsia" w:ascii="宋体" w:hAnsi="宋体" w:cs="宋体"/>
                <w:b/>
                <w:color w:val="000000"/>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szCs w:val="21"/>
                <w:highlight w:val="none"/>
                <w:lang w:val="en-US" w:eastAsia="zh"/>
              </w:rPr>
            </w:pPr>
            <w:r>
              <w:rPr>
                <w:rFonts w:hint="eastAsia" w:ascii="宋体" w:hAnsi="宋体" w:cs="宋体"/>
                <w:color w:val="000000"/>
                <w:sz w:val="21"/>
                <w:szCs w:val="21"/>
                <w:highlight w:val="none"/>
                <w:lang w:val="en-US" w:eastAsia="zh-CN"/>
              </w:rPr>
              <w:t>单户持有份额不得超过理财计划总份额的50%。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单位净值=理财计划估值日理财计划总净值</w:t>
            </w:r>
            <w:r>
              <w:rPr>
                <w:rFonts w:hint="eastAsia" w:ascii="宋体" w:hAnsi="宋体" w:cs="宋体"/>
                <w:bCs/>
                <w:color w:val="000000"/>
                <w:sz w:val="21"/>
                <w:szCs w:val="21"/>
                <w:highlight w:val="none"/>
              </w:rPr>
              <w:t>÷</w:t>
            </w:r>
            <w:r>
              <w:rPr>
                <w:rFonts w:hint="eastAsia" w:ascii="宋体" w:hAnsi="宋体" w:cs="宋体"/>
                <w:color w:val="000000"/>
                <w:szCs w:val="21"/>
                <w:highlight w:val="none"/>
              </w:rPr>
              <w:t>理财计划总份额，单位净值</w:t>
            </w:r>
            <w:r>
              <w:rPr>
                <w:rFonts w:hint="eastAsia" w:ascii="宋体" w:hAnsi="宋体" w:cs="宋体"/>
                <w:szCs w:val="21"/>
                <w:highlight w:val="none"/>
              </w:rPr>
              <w:t>〖</w:t>
            </w:r>
            <w:r>
              <w:rPr>
                <w:rFonts w:hint="eastAsia" w:ascii="宋体" w:hAnsi="宋体" w:cs="宋体"/>
                <w:color w:val="000000"/>
                <w:szCs w:val="21"/>
                <w:highlight w:val="none"/>
              </w:rPr>
              <w:t>保留小数点后四位</w:t>
            </w:r>
            <w:r>
              <w:rPr>
                <w:rFonts w:hint="eastAsia" w:ascii="宋体" w:hAnsi="宋体" w:cs="宋体"/>
                <w:szCs w:val="21"/>
                <w:highlight w:val="none"/>
              </w:rPr>
              <w:t>〗</w:t>
            </w:r>
            <w:r>
              <w:rPr>
                <w:rFonts w:hint="eastAsia" w:ascii="宋体" w:hAnsi="宋体" w:cs="宋体"/>
                <w:color w:val="000000"/>
                <w:szCs w:val="21"/>
                <w:highlight w:val="none"/>
                <w:lang w:val="en-US" w:eastAsia="zh-CN"/>
              </w:rPr>
              <w:t>,</w:t>
            </w:r>
            <w:r>
              <w:rPr>
                <w:rFonts w:hint="eastAsia" w:ascii="宋体" w:hAnsi="宋体" w:cs="宋体"/>
                <w:szCs w:val="21"/>
                <w:highlight w:val="none"/>
              </w:rPr>
              <w:t>〖</w:t>
            </w:r>
            <w:r>
              <w:rPr>
                <w:rFonts w:hint="eastAsia" w:ascii="宋体" w:hAnsi="宋体" w:cs="宋体"/>
                <w:kern w:val="2"/>
                <w:sz w:val="21"/>
                <w:szCs w:val="21"/>
                <w:highlight w:val="none"/>
                <w:lang w:val="en-US" w:eastAsia="zh" w:bidi="ar-SA"/>
              </w:rPr>
              <w:t>四舍五入</w:t>
            </w:r>
            <w:r>
              <w:rPr>
                <w:rFonts w:hint="eastAsia" w:ascii="宋体" w:hAnsi="宋体" w:cs="宋体"/>
                <w:szCs w:val="21"/>
                <w:highlight w:val="none"/>
              </w:rPr>
              <w:t>〗</w:t>
            </w:r>
            <w:r>
              <w:rPr>
                <w:rFonts w:hint="eastAsia" w:ascii="宋体" w:hAnsi="宋体" w:cs="宋体"/>
                <w:color w:val="000000"/>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理财计划总净值=理财计划认购总额+理财计划所获总收益-理财计划总费用（包括但不限于管理费、托管费、</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资金与收益支付方式</w:t>
            </w:r>
          </w:p>
        </w:tc>
        <w:tc>
          <w:tcPr>
            <w:tcW w:w="7185" w:type="dxa"/>
            <w:noWrap w:val="0"/>
            <w:vAlign w:val="center"/>
          </w:tcPr>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szCs w:val="21"/>
                <w:highlight w:val="none"/>
              </w:rPr>
            </w:pPr>
            <w:r>
              <w:rPr>
                <w:rFonts w:hint="eastAsia" w:ascii="宋体" w:hAnsi="宋体" w:cs="宋体"/>
                <w:color w:val="000000"/>
                <w:szCs w:val="21"/>
                <w:highlight w:val="none"/>
              </w:rPr>
              <w:t>理财计划到期后，最快</w:t>
            </w:r>
            <w:r>
              <w:rPr>
                <w:rFonts w:hint="eastAsia" w:ascii="宋体" w:hAnsi="宋体" w:eastAsia="宋体" w:cs="宋体"/>
                <w:kern w:val="2"/>
                <w:sz w:val="21"/>
                <w:szCs w:val="21"/>
                <w:lang w:val="en-US" w:eastAsia="zh-CN" w:bidi="ar"/>
              </w:rPr>
              <w:t>〖1〗</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cs="宋体"/>
                <w:color w:val="000000"/>
                <w:szCs w:val="21"/>
                <w:highlight w:val="none"/>
              </w:rPr>
              <w:t>，最晚</w:t>
            </w:r>
            <w:r>
              <w:rPr>
                <w:rFonts w:hint="eastAsia" w:ascii="宋体" w:hAnsi="宋体" w:eastAsia="宋体" w:cs="宋体"/>
                <w:kern w:val="2"/>
                <w:sz w:val="21"/>
                <w:szCs w:val="21"/>
                <w:lang w:val="en-US" w:eastAsia="zh-CN" w:bidi="ar"/>
              </w:rPr>
              <w:t>〖3〗</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eastAsia="宋体" w:cs="宋体"/>
                <w:color w:val="000000"/>
                <w:kern w:val="2"/>
                <w:sz w:val="21"/>
                <w:szCs w:val="21"/>
                <w:lang w:val="en-US" w:eastAsia="zh-CN" w:bidi="ar"/>
              </w:rPr>
              <w:t>内</w:t>
            </w:r>
            <w:r>
              <w:rPr>
                <w:rFonts w:hint="eastAsia" w:ascii="宋体" w:hAnsi="宋体" w:cs="宋体"/>
                <w:color w:val="000000"/>
                <w:szCs w:val="21"/>
                <w:highlight w:val="none"/>
              </w:rPr>
              <w:t>（遇节假日顺延）支付。如遇资金在途或法定工作日调整，实际资金到账日以公告为准。</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szCs w:val="21"/>
                <w:highlight w:val="none"/>
              </w:rPr>
            </w:pPr>
            <w:r>
              <w:rPr>
                <w:rFonts w:hint="eastAsia" w:ascii="宋体" w:hAnsi="宋体" w:cs="宋体"/>
                <w:color w:val="000000"/>
                <w:szCs w:val="21"/>
                <w:highlight w:val="none"/>
              </w:rPr>
              <w:t>在满足收益分配基准日理财计划份额净值大于1元的情况下，管理人将</w:t>
            </w:r>
            <w:r>
              <w:rPr>
                <w:rFonts w:hint="eastAsia" w:ascii="宋体" w:hAnsi="宋体" w:cs="宋体"/>
                <w:szCs w:val="21"/>
                <w:highlight w:val="none"/>
              </w:rPr>
              <w:t>〖</w:t>
            </w:r>
            <w:r>
              <w:rPr>
                <w:rFonts w:hint="eastAsia" w:ascii="宋体" w:hAnsi="宋体" w:cs="宋体"/>
                <w:color w:val="000000"/>
                <w:szCs w:val="21"/>
                <w:highlight w:val="none"/>
                <w:lang w:eastAsia="zh"/>
              </w:rPr>
              <w:t>不</w:t>
            </w:r>
            <w:r>
              <w:rPr>
                <w:rFonts w:hint="eastAsia" w:ascii="宋体" w:hAnsi="宋体" w:cs="宋体"/>
                <w:color w:val="000000"/>
                <w:szCs w:val="21"/>
                <w:highlight w:val="none"/>
              </w:rPr>
              <w:t>定期</w:t>
            </w:r>
            <w:r>
              <w:rPr>
                <w:rFonts w:hint="eastAsia" w:ascii="宋体" w:hAnsi="宋体" w:cs="宋体"/>
                <w:szCs w:val="21"/>
                <w:highlight w:val="none"/>
              </w:rPr>
              <w:t>〗</w:t>
            </w:r>
            <w:r>
              <w:rPr>
                <w:rFonts w:hint="eastAsia" w:ascii="宋体" w:hAnsi="宋体" w:cs="宋体"/>
                <w:color w:val="000000"/>
                <w:szCs w:val="21"/>
                <w:highlight w:val="none"/>
              </w:rPr>
              <w:t>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业绩比较基准</w:t>
            </w:r>
          </w:p>
        </w:tc>
        <w:tc>
          <w:tcPr>
            <w:tcW w:w="7185" w:type="dxa"/>
            <w:noWrap w:val="0"/>
            <w:vAlign w:val="center"/>
          </w:tcPr>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本理财计划〖A份额〗业绩比较基准为〖2.50%-2.70%〗（年化）。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本理财计划〖B份额〗业绩比较基准为〖2.60%-2.80%〗（年化）。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本理财计划〖C份额〗业绩比较基准为〖2.70%-2.90%〗（年化）。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本理财计划〖D份额〗业绩比较基准为〖2.65%-2.85%〗（年化）。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本理财计划〖E份额〗业绩比较基准为〖2.35%-2.55%〗（年化）。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本理财计划〖F份额〗业绩比较基准为〖2.55%-2.75%〗（年化）。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本理财计划〖G份额〗业绩比较基准为〖2.83%-3.03%〗（年化）。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本理财计划〖H份额〗业绩比较基准为〖2.60%-2.80%〗（年化）。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本理财计划〖I份额〗业绩比较基准为〖2.50%-2.70%〗（年化）。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本理财计划〖J份额〗业绩比较基准为〖2.75%-2.95%〗（年化）。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本理财计划〖K份额〗业绩比较基准为〖2.50%-2.70%〗（年化）。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本理财计划〖L份额〗业绩比较基准为〖2.70%-2.90%〗（年化）。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本理财计划〖M份额〗业绩比较基准为〖2.65%-2.85%〗（年化）。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本理财计划〖N份额〗业绩比较基准为〖2.60%-2.80%〗（年化）。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本理财计划〖O份额〗业绩比较基准为〖2.60%-2.80%〗（年化）。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本理财计划〖P份额〗业绩比较基准为〖2.65%-2.85%〗（年化）。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本理财计划〖Q份额〗业绩比较基准为〖2.65%-2.85%〗（年化）。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本理财计划〖R份额〗业绩比较基准为〖2.70%-2.90%〗（年化）。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本理财计划〖S份额〗业绩比较基准为〖2.66%-2.86%〗（年化）。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本理财计划〖T份额〗业绩比较基准为〖2.50%-2.70%〗（年化）。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本理财计划〖U份额〗业绩比较基准为〖2.60%-2.80%〗（年化）。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本理财计划〖V份额〗业绩比较基准为〖2.70%-2.90%〗（年化）。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本理财计划〖W份额〗业绩比较基准为〖2.50%-2.70%〗（年化）。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本理财计划〖X份额〗业绩比较基准为〖2.75%-2.95%〗（年化）。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本理财计划〖Y份额〗业绩比较基准为〖2.60%-2.80%〗（年化）。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本理财计划〖Z份额〗业绩比较基准为〖2.70%-2.90%〗（年化）。</w:t>
            </w:r>
          </w:p>
          <w:p>
            <w:pPr>
              <w:keepNext w:val="0"/>
              <w:keepLines w:val="0"/>
              <w:widowControl/>
              <w:suppressLineNumbers w:val="0"/>
              <w:spacing w:before="0" w:beforeAutospacing="0" w:after="0" w:afterAutospacing="0" w:line="360" w:lineRule="auto"/>
              <w:ind w:left="0" w:right="0"/>
              <w:jc w:val="left"/>
              <w:rPr>
                <w:rFonts w:hint="eastAsia" w:ascii="宋体" w:hAnsi="宋体" w:cs="宋体"/>
                <w:b/>
                <w:bCs/>
                <w:szCs w:val="21"/>
                <w:highlight w:val="none"/>
              </w:rPr>
            </w:pPr>
            <w:r>
              <w:rPr>
                <w:rFonts w:hint="eastAsia" w:ascii="宋体" w:hAnsi="宋体" w:cs="宋体"/>
                <w:b/>
                <w:bCs/>
                <w:color w:val="000000"/>
                <w:szCs w:val="21"/>
                <w:highlight w:val="none"/>
              </w:rPr>
              <w:t>业绩基准测算依据：</w:t>
            </w:r>
            <w:r>
              <w:rPr>
                <w:rFonts w:hint="eastAsia" w:ascii="宋体" w:hAnsi="宋体" w:eastAsia="宋体" w:cs="宋体"/>
                <w:b/>
                <w:bCs/>
                <w:color w:val="000000"/>
                <w:kern w:val="2"/>
                <w:sz w:val="21"/>
                <w:szCs w:val="21"/>
                <w:lang w:val="en-US" w:eastAsia="zh-CN" w:bidi="ar"/>
              </w:rPr>
              <w:t>本理财计划重</w:t>
            </w:r>
            <w:r>
              <w:rPr>
                <w:rFonts w:hint="eastAsia" w:ascii="宋体" w:hAnsi="宋体" w:eastAsia="宋体" w:cs="宋体"/>
                <w:b/>
                <w:bCs/>
                <w:kern w:val="2"/>
                <w:sz w:val="21"/>
                <w:szCs w:val="21"/>
                <w:lang w:val="en-US" w:eastAsia="zh-CN" w:bidi="ar"/>
              </w:rPr>
              <w:t>点投资于货币市场工具、债券、非标准化债权类资产等资产，管理人根据固定收益市场历史表现，结合当前利率水平、资产配比及市场同类型产品情况，经综合判断得出。</w:t>
            </w:r>
          </w:p>
          <w:p>
            <w:pPr>
              <w:keepNext w:val="0"/>
              <w:keepLines w:val="0"/>
              <w:widowControl/>
              <w:suppressLineNumbers w:val="0"/>
              <w:spacing w:before="0" w:beforeAutospacing="0" w:after="0" w:afterAutospacing="0" w:line="360" w:lineRule="auto"/>
              <w:ind w:left="0" w:right="0"/>
              <w:jc w:val="left"/>
              <w:rPr>
                <w:rFonts w:hint="eastAsia" w:ascii="宋体" w:hAnsi="宋体" w:cs="宋体"/>
                <w:b/>
                <w:szCs w:val="21"/>
                <w:highlight w:val="none"/>
              </w:rPr>
            </w:pPr>
            <w:r>
              <w:rPr>
                <w:rFonts w:hint="eastAsia" w:ascii="宋体" w:hAnsi="宋体" w:cs="宋体"/>
                <w:szCs w:val="21"/>
                <w:highlight w:val="none"/>
              </w:rPr>
              <w:t>管理人有权根据市场情况及</w:t>
            </w:r>
            <w:r>
              <w:rPr>
                <w:rFonts w:hint="eastAsia" w:ascii="宋体" w:hAnsi="宋体" w:cs="宋体"/>
                <w:szCs w:val="21"/>
                <w:highlight w:val="none"/>
                <w:lang w:eastAsia="zh-CN"/>
              </w:rPr>
              <w:t>理财计划</w:t>
            </w:r>
            <w:r>
              <w:rPr>
                <w:rFonts w:hint="eastAsia" w:ascii="宋体" w:hAnsi="宋体" w:cs="宋体"/>
                <w:szCs w:val="21"/>
                <w:highlight w:val="none"/>
              </w:rPr>
              <w:t>运作情况调整业绩基准，并至少于新业绩基准启用前</w:t>
            </w:r>
            <w:r>
              <w:rPr>
                <w:rFonts w:hint="eastAsia" w:ascii="宋体" w:hAnsi="宋体" w:cs="宋体"/>
                <w:kern w:val="0"/>
                <w:highlight w:val="none"/>
              </w:rPr>
              <w:t>〖</w:t>
            </w:r>
            <w:r>
              <w:rPr>
                <w:rFonts w:hint="eastAsia" w:ascii="宋体" w:hAnsi="宋体" w:cs="宋体"/>
                <w:color w:val="000000"/>
                <w:kern w:val="0"/>
                <w:highlight w:val="none"/>
                <w:lang w:val="en-US" w:eastAsia="zh-CN"/>
              </w:rPr>
              <w:t>2</w:t>
            </w:r>
            <w:r>
              <w:rPr>
                <w:rFonts w:hint="eastAsia" w:ascii="宋体" w:hAnsi="宋体" w:cs="宋体"/>
                <w:kern w:val="0"/>
                <w:highlight w:val="none"/>
              </w:rPr>
              <w:t>〗</w:t>
            </w:r>
            <w:r>
              <w:rPr>
                <w:rFonts w:hint="eastAsia" w:ascii="宋体" w:hAnsi="宋体" w:cs="宋体"/>
                <w:szCs w:val="21"/>
                <w:highlight w:val="none"/>
              </w:rPr>
              <w:t>个工作日公告。</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b/>
                <w:szCs w:val="21"/>
                <w:highlight w:val="none"/>
              </w:rPr>
              <w:t>本理财计划为净值型理财产品，其业绩表现将随市场波动具有不确定性。本公司提醒投资者关注，业绩比较基准</w:t>
            </w:r>
            <w:r>
              <w:rPr>
                <w:rFonts w:hint="eastAsia" w:ascii="宋体" w:hAnsi="宋体" w:cs="宋体"/>
                <w:b/>
                <w:szCs w:val="21"/>
                <w:highlight w:val="none"/>
                <w:lang w:eastAsia="zh-CN"/>
              </w:rPr>
              <w:t>不是预期收益率，</w:t>
            </w:r>
            <w:r>
              <w:rPr>
                <w:rFonts w:hint="eastAsia" w:ascii="宋体" w:hAnsi="宋体" w:cs="宋体"/>
                <w:b/>
                <w:szCs w:val="21"/>
                <w:highlight w:val="none"/>
              </w:rPr>
              <w:t>并不代表</w:t>
            </w:r>
            <w:r>
              <w:rPr>
                <w:rFonts w:hint="eastAsia" w:ascii="宋体" w:hAnsi="宋体" w:cs="宋体"/>
                <w:b/>
                <w:szCs w:val="21"/>
                <w:highlight w:val="none"/>
                <w:lang w:eastAsia="zh-CN"/>
              </w:rPr>
              <w:t>理财计划的未来表现和</w:t>
            </w:r>
            <w:r>
              <w:rPr>
                <w:rFonts w:hint="eastAsia" w:ascii="宋体" w:hAnsi="宋体" w:cs="宋体"/>
                <w:b/>
                <w:szCs w:val="21"/>
                <w:highlight w:val="none"/>
              </w:rPr>
              <w:t>实际收益率</w:t>
            </w:r>
            <w:r>
              <w:rPr>
                <w:rFonts w:hint="eastAsia" w:ascii="宋体" w:hAnsi="宋体" w:cs="宋体"/>
                <w:b/>
                <w:szCs w:val="21"/>
                <w:highlight w:val="none"/>
                <w:lang w:eastAsia="zh-CN"/>
              </w:rPr>
              <w:t>，不构成对理财计划收益的承诺</w:t>
            </w:r>
            <w:r>
              <w:rPr>
                <w:rFonts w:hint="eastAsia" w:ascii="宋体" w:hAnsi="宋体" w:cs="宋体"/>
                <w:b/>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〖A份额〗收取年化〖0.30%〗的销售服务费, 〖B份额〗收取年化〖0.20%〗的销售服务费, 〖C份额〗收取年化〖0.10%〗的销售服务费, 〖D份额〗收取年化〖0.15%〗的销售服务费, 〖E份额〗收取年化〖0.40%〗的销售服务费, 〖F份额〗收取年化〖0.25%〗的销售服务费, 〖G份额〗收取年化〖0.01%〗的销售服务费, 〖H份额〗收取年化〖0.20%〗的销售服务费, 〖I份额〗收取年化〖0.30%〗的销售服务费, 〖J份额〗收取年化〖0.05%〗的销售服务费, 〖K份额〗收取年化〖0.30%〗的销售服务费, 〖L份额〗收取年化〖0.13%〗的销售服务费, 〖M份额〗收取年化〖0.15%〗的销售服务费, 〖N份额〗收取年化〖0.20%〗的销售服务费, 〖O份额〗收取年化〖0.20%〗的销售服务费, 〖P份额〗收取年化〖0.15%〗的销售服务费, 〖Q份额〗收取年化〖0.15%〗的销售服务费, 〖R份额〗收取年化〖0.10%〗的销售服务费, 〖S份额〗收取年化〖0.15%〗的销售服务费, 〖T份额〗收取年化〖0.30%〗的销售服务费, 〖U份额〗收取年化〖0.20%〗的销售服务费, 〖V份额〗收取年化〖0.10%〗的销售服务费, 〖W份额〗收取年化〖0.30%〗的销售服务费, 〖X份额〗收取年化〖0.05%〗的销售服务费, 〖Y份额〗收取年化〖0.20%〗的销售服务费, 〖Z份额〗收取年化〖0.10%〗的销售服务费。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2.托管费：收取年化</w:t>
            </w: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0.025</w:t>
            </w:r>
            <w:r>
              <w:rPr>
                <w:rFonts w:hint="eastAsia" w:ascii="宋体" w:hAnsi="宋体" w:cs="宋体"/>
                <w:szCs w:val="21"/>
                <w:highlight w:val="none"/>
                <w:lang w:eastAsia="zh"/>
              </w:rPr>
              <w:t>%</w:t>
            </w:r>
            <w:r>
              <w:rPr>
                <w:rFonts w:hint="eastAsia" w:ascii="宋体" w:hAnsi="宋体" w:cs="宋体"/>
                <w:szCs w:val="21"/>
                <w:highlight w:val="none"/>
              </w:rPr>
              <w:t>〗</w:t>
            </w:r>
            <w:r>
              <w:rPr>
                <w:rFonts w:hint="eastAsia" w:ascii="宋体" w:hAnsi="宋体" w:cs="宋体"/>
                <w:color w:val="000000"/>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〖A份额〗收取年化〖0.05%〗的固定管理费, 〖B份额〗收取年化〖0.05%〗的固定管理费, 〖C份额〗收取年化〖0.05%〗的固定管理费, 〖D份额〗收取年化〖0.05%〗的固定管理费, 〖E份额〗收取年化〖0.10%〗的固定管理费, 〖F份额〗收取年化〖0.05%〗的固定管理费, 〖G份额〗收取年化〖0.01%〗的固定管理费, 〖H份额〗收取年化〖0.05%〗的固定管理费, 〖I份额〗收取年化〖0.05%〗的固定管理费, 〖J份额〗收取年化〖0.05%〗的固定管理费, 〖K份额〗收取年化〖0.05%〗的固定管理费, 〖L份额〗收取年化〖0.02%〗的固定管理费, 〖M份额〗收取年化〖0.05%〗的固定管理费, 〖N份额〗收取年化〖0.05%〗的固定管理费, 〖O份额〗收取年化〖0.05%〗的固定管理费, 〖P份额〗收取年化〖0.05%〗的固定管理费, 〖Q份额〗收取年化〖0.05%〗的固定管理费, 〖R份额〗收取年化〖0.05%〗的固定管理费, 〖S份额〗收取年化〖0.04%〗的固定管理费, 〖T份额〗收取年化〖0.05%〗的固定管理费, 〖U份额〗收取年化〖0.05%〗的固定管理费, 〖V份额〗收取年化〖0.05%〗的固定管理费, 〖W份额〗收取年化〖0.05%〗的固定管理费, 〖X份额〗收取年化〖0.05%〗的固定管理费, 〖Y份额〗收取年化〖0.05%〗的固定管理费, 〖Z份额〗收取年化〖0.05%〗的固定管理费。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5.浮动管理费</w:t>
            </w:r>
            <w:r>
              <w:rPr>
                <w:rFonts w:hint="eastAsia" w:ascii="宋体" w:hAnsi="宋体" w:cs="宋体"/>
                <w:color w:val="000000"/>
                <w:szCs w:val="21"/>
                <w:highlight w:val="none"/>
                <w:lang w:eastAsia="zh-CN"/>
              </w:rPr>
              <w:t>：</w:t>
            </w:r>
            <w:r>
              <w:rPr>
                <w:rFonts w:hint="eastAsia" w:ascii="宋体" w:hAnsi="宋体" w:eastAsia="宋体" w:cs="宋体"/>
                <w:color w:val="000000"/>
                <w:kern w:val="2"/>
                <w:sz w:val="21"/>
                <w:szCs w:val="21"/>
                <w:highlight w:val="none"/>
                <w:lang w:val="en-US" w:eastAsia="zh-CN" w:bidi="ar-SA"/>
              </w:rPr>
              <w:t>管理人根据理财计划投资情况计算浮动管理费，本理财计划份额（除O份额）到期日（提前终止日）的折合年化收益率在〖业绩比较基准下限（含）至业绩比较基准上限（含）〗的部分，管理人提取〖50%〗作为浮动管理费，在折合年化收益率超过〖业绩比较基准上限〗的部分，管理人提取〖80%〗作为浮动管理费；〖O份额〗到期日（提前终止日）的折合年化收益率在〖业绩比较基准下限（含）至业绩比较基准中枢（含）〗的部分，管理人提取〖50%〗作为浮动管理费，在折合年化收益率超过〖业绩比较基准中枢〗的部分，管理人提取〖60%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如遇国家金融政策出现重大调整并影响到本理财计划的正常运行的、市场收益率大幅波动可能或实质影响理财计划收益等情况，管理人有权提前终止本理财计划。具体参见说明书“交易规则”部分。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Cs w:val="21"/>
                <w:highlight w:val="none"/>
              </w:rPr>
            </w:pPr>
            <w:r>
              <w:rPr>
                <w:rFonts w:hint="eastAsia" w:ascii="宋体" w:hAnsi="宋体" w:cs="宋体"/>
                <w:color w:val="000000"/>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Cs w:val="21"/>
                <w:highlight w:val="none"/>
              </w:rPr>
            </w:pPr>
            <w:r>
              <w:rPr>
                <w:rFonts w:hint="eastAsia" w:ascii="宋体" w:hAnsi="宋体" w:cs="宋体"/>
                <w:color w:val="000000"/>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Cs w:val="21"/>
                <w:highlight w:val="none"/>
              </w:rPr>
            </w:pPr>
            <w:r>
              <w:rPr>
                <w:rFonts w:hint="eastAsia" w:ascii="宋体" w:hAnsi="宋体" w:cs="宋体"/>
                <w:b/>
                <w:color w:val="000000"/>
                <w:szCs w:val="21"/>
                <w:highlight w:val="none"/>
              </w:rPr>
              <w:t>投资者在理财期限内不能提前</w:t>
            </w:r>
            <w:r>
              <w:rPr>
                <w:rFonts w:hint="eastAsia" w:ascii="宋体" w:hAnsi="宋体" w:cs="宋体"/>
                <w:b/>
                <w:color w:val="000000"/>
                <w:szCs w:val="21"/>
                <w:highlight w:val="none"/>
                <w:lang w:eastAsia="zh-CN"/>
              </w:rPr>
              <w:t>赎回</w:t>
            </w:r>
            <w:r>
              <w:rPr>
                <w:rFonts w:hint="eastAsia" w:ascii="宋体" w:hAnsi="宋体" w:cs="宋体"/>
                <w:b/>
                <w:color w:val="000000"/>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9"/>
        </w:numPr>
        <w:spacing w:line="360" w:lineRule="auto"/>
        <w:outlineLvl w:val="9"/>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0"/>
        </w:numPr>
        <w:spacing w:line="360" w:lineRule="auto"/>
        <w:ind w:leftChars="0" w:firstLine="480" w:firstLineChars="200"/>
        <w:outlineLvl w:val="9"/>
        <w:rPr>
          <w:rFonts w:hint="eastAsia" w:ascii="宋体" w:hAnsi="宋体" w:cs="宋体"/>
          <w:b/>
          <w:color w:val="000000"/>
          <w:sz w:val="24"/>
          <w:highlight w:val="none"/>
        </w:rPr>
      </w:pPr>
      <w:r>
        <w:rPr>
          <w:rFonts w:hint="eastAsia" w:ascii="宋体" w:hAnsi="宋体" w:eastAsia="宋体" w:cs="宋体"/>
          <w:bCs/>
          <w:color w:val="auto"/>
          <w:kern w:val="2"/>
          <w:sz w:val="24"/>
          <w:szCs w:val="24"/>
          <w:highlight w:val="none"/>
          <w:lang w:val="en-US" w:eastAsia="zh-CN" w:bidi="ar-SA"/>
        </w:rPr>
        <w:t>本理财计划自成立日起〖1个月〗为建仓期，管理人应当在建仓期结束前使各项投资比例符合约定。</w:t>
      </w:r>
    </w:p>
    <w:p>
      <w:pPr>
        <w:numPr>
          <w:ilvl w:val="0"/>
          <w:numId w:val="2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投资范围</w:t>
      </w:r>
    </w:p>
    <w:p>
      <w:pPr>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本理财计划主要投资于符合监管要求的各类资产：</w:t>
      </w:r>
    </w:p>
    <w:p>
      <w:pPr>
        <w:keepNext w:val="0"/>
        <w:keepLines w:val="0"/>
        <w:widowControl w:val="0"/>
        <w:suppressLineNumbers w:val="0"/>
        <w:spacing w:before="0" w:beforeAutospacing="0" w:after="0" w:afterAutospacing="0" w:line="360" w:lineRule="auto"/>
        <w:ind w:left="-1" w:right="-1" w:firstLine="480"/>
        <w:jc w:val="left"/>
        <w:rPr>
          <w:rFonts w:hint="eastAsia" w:ascii="宋体" w:hAnsi="宋体" w:eastAsia="宋体" w:cs="宋体"/>
          <w:kern w:val="2"/>
          <w:position w:val="0"/>
          <w:sz w:val="24"/>
          <w:szCs w:val="24"/>
          <w:highlight w:val="none"/>
        </w:rPr>
      </w:pPr>
      <w:r>
        <w:rPr>
          <w:rFonts w:hint="eastAsia" w:ascii="宋体" w:hAnsi="宋体" w:eastAsia="宋体" w:cs="宋体"/>
          <w:kern w:val="2"/>
          <w:position w:val="0"/>
          <w:sz w:val="24"/>
          <w:szCs w:val="24"/>
          <w:highlight w:val="none"/>
          <w:lang w:val="en-US" w:eastAsia="zh-CN" w:bidi="ar"/>
        </w:rPr>
        <w:t>包括但不限于各类债券、存款、货币市场金融工具、债券基金、质押式及买断式回购、非标准化债权类资产，其他符合监管要求的固定收益类资产及资产管理产品。</w:t>
      </w:r>
    </w:p>
    <w:p>
      <w:pPr>
        <w:keepNext w:val="0"/>
        <w:keepLines w:val="0"/>
        <w:widowControl w:val="0"/>
        <w:suppressLineNumbers w:val="0"/>
        <w:spacing w:before="0" w:beforeAutospacing="0" w:after="0" w:afterAutospacing="0"/>
        <w:ind w:left="0" w:leftChars="0" w:right="0" w:firstLine="480" w:firstLineChars="200"/>
        <w:jc w:val="both"/>
        <w:rPr>
          <w:rFonts w:hint="eastAsia" w:ascii="宋体" w:hAnsi="宋体" w:eastAsia="宋体" w:cs="宋体"/>
          <w:highlight w:val="none"/>
        </w:rPr>
      </w:pPr>
      <w:r>
        <w:rPr>
          <w:rFonts w:hint="eastAsia" w:ascii="宋体" w:hAnsi="宋体" w:eastAsia="宋体" w:cs="宋体"/>
          <w:kern w:val="2"/>
          <w:position w:val="0"/>
          <w:sz w:val="24"/>
          <w:szCs w:val="24"/>
          <w:highlight w:val="none"/>
          <w:lang w:val="en-US" w:eastAsia="zh-CN" w:bidi="ar"/>
        </w:rPr>
        <w:t>法律法规或监管机构允许投资的符合本理财产品投资性质的其他金融资产。</w:t>
      </w:r>
    </w:p>
    <w:p>
      <w:pPr>
        <w:numPr>
          <w:ilvl w:val="0"/>
          <w:numId w:val="20"/>
        </w:numPr>
        <w:spacing w:line="360" w:lineRule="auto"/>
        <w:jc w:val="left"/>
        <w:outlineLvl w:val="9"/>
        <w:rPr>
          <w:rFonts w:hint="eastAsia" w:ascii="宋体" w:hAnsi="宋体" w:eastAsia="宋体" w:cs="宋体"/>
          <w:b/>
          <w:sz w:val="24"/>
          <w:highlight w:val="none"/>
        </w:rPr>
      </w:pPr>
      <w:r>
        <w:rPr>
          <w:rFonts w:hint="eastAsia" w:ascii="宋体" w:hAnsi="宋体" w:eastAsia="宋体" w:cs="宋体"/>
          <w:b/>
          <w:sz w:val="24"/>
          <w:highlight w:val="none"/>
        </w:rPr>
        <w:t>投资比例</w:t>
      </w:r>
    </w:p>
    <w:p>
      <w:pPr>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本理财计划各投资资产占</w:t>
      </w:r>
      <w:r>
        <w:rPr>
          <w:rFonts w:hint="eastAsia" w:ascii="宋体" w:hAnsi="宋体" w:eastAsia="宋体" w:cs="宋体"/>
          <w:bCs/>
          <w:sz w:val="24"/>
          <w:highlight w:val="none"/>
          <w:lang w:eastAsia="zh-CN"/>
        </w:rPr>
        <w:t>总</w:t>
      </w:r>
      <w:r>
        <w:rPr>
          <w:rFonts w:hint="eastAsia" w:ascii="宋体" w:hAnsi="宋体" w:eastAsia="宋体" w:cs="宋体"/>
          <w:bCs/>
          <w:sz w:val="24"/>
          <w:highlight w:val="none"/>
        </w:rPr>
        <w:t>资产的配置比例如下：</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sz w:val="24"/>
          <w:szCs w:val="24"/>
          <w:highlight w:val="none"/>
        </w:rPr>
      </w:pPr>
      <w:r>
        <w:rPr>
          <w:rFonts w:hint="eastAsia" w:ascii="宋体" w:hAnsi="宋体" w:eastAsia="宋体" w:cs="宋体"/>
          <w:kern w:val="2"/>
          <w:sz w:val="24"/>
          <w:szCs w:val="24"/>
          <w:lang w:val="en-US" w:eastAsia="zh-CN" w:bidi="ar"/>
        </w:rPr>
        <w:t>本理财产品投资于固定收益类资产的比例不低于80%，投资于非标准化债权类资产的比例不高于50%。</w:t>
      </w:r>
    </w:p>
    <w:p>
      <w:pPr>
        <w:pStyle w:val="17"/>
        <w:numPr>
          <w:ilvl w:val="0"/>
          <w:numId w:val="21"/>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在理财计划存续期间如遇市场变化导致各类投资品投资比例暂时超出以上范围，为保护投资者利益，管理人将在流动性受限资产可出售、可转让或者恢复交易的15个交易日内调整至上述比例范围。</w:t>
      </w:r>
    </w:p>
    <w:p>
      <w:pPr>
        <w:pStyle w:val="17"/>
        <w:numPr>
          <w:ilvl w:val="0"/>
          <w:numId w:val="21"/>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当出现金融市场发生重大变化、理财计划出现大比例规模变化等情况，为保护投资者利益，管理人有权根据市场情况超出约定比例范围投资较低风险资产。</w:t>
      </w:r>
    </w:p>
    <w:p>
      <w:pPr>
        <w:pStyle w:val="17"/>
        <w:numPr>
          <w:ilvl w:val="0"/>
          <w:numId w:val="21"/>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本理财计划存在投资退出期，投资退出期至理财计划到期终止期间，为保障投资管理平稳运作，投资组合比例可能超出约定投资范围比例。</w:t>
      </w:r>
    </w:p>
    <w:p>
      <w:pPr>
        <w:pStyle w:val="17"/>
        <w:numPr>
          <w:ilvl w:val="0"/>
          <w:numId w:val="21"/>
        </w:numPr>
        <w:adjustRightInd/>
        <w:spacing w:line="360" w:lineRule="auto"/>
        <w:ind w:firstLine="458" w:firstLineChars="190"/>
        <w:rPr>
          <w:rFonts w:hint="eastAsia" w:ascii="宋体" w:hAnsi="宋体" w:cs="宋体"/>
          <w:bCs/>
          <w:color w:val="auto"/>
          <w:kern w:val="2"/>
          <w:highlight w:val="none"/>
        </w:rPr>
      </w:pPr>
      <w:r>
        <w:rPr>
          <w:rFonts w:hint="eastAsia" w:ascii="宋体" w:hAnsi="宋体" w:cs="宋体"/>
          <w:b/>
          <w:bCs w:val="0"/>
          <w:color w:val="auto"/>
          <w:kern w:val="2"/>
          <w:highlight w:val="none"/>
          <w:lang w:val="en-US" w:eastAsia="zh-CN"/>
        </w:rPr>
        <w:t>本理财计划可以投资不存在活跃交易市场并且需要采用估值技术确定公允价值的资产，上述资产比例可以达到理财计划净资产的50%以上。</w:t>
      </w:r>
    </w:p>
    <w:p>
      <w:pPr>
        <w:numPr>
          <w:ilvl w:val="0"/>
          <w:numId w:val="2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投资策略</w:t>
      </w:r>
    </w:p>
    <w:p>
      <w:pPr>
        <w:pStyle w:val="17"/>
        <w:numPr>
          <w:ilvl w:val="0"/>
          <w:numId w:val="22"/>
        </w:numPr>
        <w:adjustRightInd/>
        <w:spacing w:line="360" w:lineRule="auto"/>
        <w:rPr>
          <w:rFonts w:hint="eastAsia" w:ascii="宋体" w:hAnsi="宋体" w:cs="宋体"/>
          <w:bCs/>
          <w:color w:val="000000"/>
          <w:kern w:val="2"/>
          <w:highlight w:val="none"/>
        </w:rPr>
      </w:pPr>
      <w:r>
        <w:rPr>
          <w:rFonts w:hint="eastAsia" w:ascii="宋体" w:hAnsi="宋体" w:cs="宋体"/>
          <w:bCs/>
          <w:color w:val="000000"/>
          <w:kern w:val="2"/>
          <w:highlight w:val="none"/>
        </w:rPr>
        <w:t>资产配置策略</w:t>
      </w:r>
    </w:p>
    <w:p>
      <w:pPr>
        <w:pStyle w:val="17"/>
        <w:adjustRightInd/>
        <w:spacing w:line="360" w:lineRule="auto"/>
        <w:rPr>
          <w:rFonts w:ascii="宋体" w:cs="宋体"/>
          <w:color w:val="000000"/>
          <w:sz w:val="21"/>
          <w:szCs w:val="21"/>
          <w:highlight w:val="none"/>
        </w:rPr>
      </w:pPr>
      <w:r>
        <w:rPr>
          <w:rFonts w:hint="eastAsia" w:ascii="宋体" w:hAnsi="宋体" w:cs="宋体"/>
          <w:bCs/>
          <w:color w:val="000000"/>
          <w:kern w:val="2"/>
          <w:highlight w:val="none"/>
        </w:rPr>
        <w:t xml:space="preserve">    将通过对宏观经济形势、各项国家政策、及证券市场环境的分析来判断经济周期目前的位置，主动判断市场时机进行资产配置，确定在各类资产上的投资比例。</w:t>
      </w:r>
    </w:p>
    <w:p>
      <w:pPr>
        <w:numPr>
          <w:ilvl w:val="0"/>
          <w:numId w:val="2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债券投资策略</w:t>
      </w:r>
    </w:p>
    <w:p>
      <w:pPr>
        <w:pStyle w:val="17"/>
        <w:adjustRightInd/>
        <w:spacing w:line="360" w:lineRule="auto"/>
        <w:ind w:firstLine="480" w:firstLineChars="200"/>
        <w:rPr>
          <w:rFonts w:hint="eastAsia" w:ascii="宋体" w:hAnsi="宋体" w:cs="宋体"/>
          <w:bCs/>
          <w:color w:val="000000"/>
          <w:highlight w:val="none"/>
        </w:rPr>
      </w:pPr>
      <w:r>
        <w:rPr>
          <w:rFonts w:hint="eastAsia" w:ascii="宋体" w:hAnsi="宋体" w:cs="宋体"/>
          <w:bCs/>
          <w:color w:val="000000"/>
          <w:kern w:val="2"/>
          <w:highlight w:val="none"/>
        </w:rPr>
        <w:t>管理人本着稳健投资的理念，采用安全性和流动性优先、优选投资品种，采取久期策略和信用策略来获取稳定收益。</w:t>
      </w:r>
    </w:p>
    <w:p>
      <w:pPr>
        <w:keepNext w:val="0"/>
        <w:keepLines w:val="0"/>
        <w:widowControl w:val="0"/>
        <w:numPr>
          <w:ilvl w:val="0"/>
          <w:numId w:val="23"/>
        </w:numPr>
        <w:suppressLineNumbers w:val="0"/>
        <w:spacing w:before="0" w:beforeAutospacing="0" w:after="0" w:afterAutospacing="0" w:line="360" w:lineRule="auto"/>
        <w:ind w:left="0" w:right="0"/>
        <w:jc w:val="both"/>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非标准化债权类资产投资策略</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cs="宋体"/>
          <w:bCs/>
          <w:color w:val="000000"/>
          <w:kern w:val="2"/>
          <w:highlight w:val="none"/>
        </w:rPr>
      </w:pPr>
      <w:r>
        <w:rPr>
          <w:rFonts w:hint="eastAsia" w:ascii="宋体" w:hAnsi="宋体" w:eastAsia="宋体" w:cs="宋体"/>
          <w:color w:val="000000"/>
          <w:kern w:val="2"/>
          <w:sz w:val="24"/>
          <w:szCs w:val="24"/>
          <w:lang w:val="en-US" w:eastAsia="zh-CN" w:bidi="ar"/>
        </w:rPr>
        <w:t>管理人发挥自身能力优势，在合规前提下开展风险可控、期限匹配的非标准化债权类资产投资，力争获取稳定收益。</w:t>
      </w:r>
    </w:p>
    <w:p>
      <w:pPr>
        <w:numPr>
          <w:ilvl w:val="0"/>
          <w:numId w:val="2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投资限制</w:t>
      </w:r>
    </w:p>
    <w:p>
      <w:pPr>
        <w:numPr>
          <w:ilvl w:val="0"/>
          <w:numId w:val="0"/>
        </w:numPr>
        <w:spacing w:line="360" w:lineRule="auto"/>
        <w:ind w:firstLine="480" w:firstLineChars="200"/>
        <w:jc w:val="left"/>
        <w:outlineLvl w:val="9"/>
        <w:rPr>
          <w:rFonts w:hint="eastAsia" w:ascii="宋体" w:hAnsi="宋体" w:eastAsia="宋体" w:cs="宋体"/>
          <w:b/>
          <w:color w:val="000000"/>
          <w:sz w:val="24"/>
          <w:highlight w:val="none"/>
          <w:lang w:eastAsia="zh-CN"/>
        </w:rPr>
      </w:pPr>
      <w:r>
        <w:rPr>
          <w:rFonts w:hint="eastAsia" w:ascii="宋体" w:hAnsi="宋体" w:cs="宋体"/>
          <w:bCs/>
          <w:color w:val="000000"/>
          <w:sz w:val="24"/>
          <w:highlight w:val="none"/>
          <w:lang w:eastAsia="zh-CN"/>
        </w:rPr>
        <w:t>投资限制中列示的资产品种不代表管理人的实际投向，本理财计划投资范围以“投资范围”章节表述为准。</w:t>
      </w:r>
    </w:p>
    <w:p>
      <w:pPr>
        <w:numPr>
          <w:ilvl w:val="0"/>
          <w:numId w:val="24"/>
        </w:numPr>
        <w:spacing w:line="360" w:lineRule="auto"/>
        <w:jc w:val="left"/>
        <w:rPr>
          <w:rFonts w:hint="eastAsia" w:ascii="宋体" w:hAnsi="宋体" w:cs="宋体"/>
          <w:bCs/>
          <w:sz w:val="24"/>
          <w:highlight w:val="none"/>
        </w:rPr>
      </w:pPr>
      <w:r>
        <w:rPr>
          <w:rFonts w:hint="eastAsia" w:ascii="宋体" w:hAnsi="宋体" w:cs="宋体"/>
          <w:bCs/>
          <w:sz w:val="24"/>
          <w:highlight w:val="none"/>
        </w:rPr>
        <w:t>投资集中度限制</w:t>
      </w:r>
    </w:p>
    <w:p>
      <w:pPr>
        <w:numPr>
          <w:ilvl w:val="0"/>
          <w:numId w:val="25"/>
        </w:numPr>
        <w:spacing w:line="360" w:lineRule="auto"/>
        <w:ind w:firstLine="480" w:firstLineChars="200"/>
        <w:jc w:val="left"/>
        <w:rPr>
          <w:rFonts w:hint="eastAsia" w:ascii="宋体" w:hAnsi="宋体" w:cs="宋体"/>
          <w:bCs/>
          <w:sz w:val="24"/>
          <w:highlight w:val="none"/>
        </w:rPr>
      </w:pPr>
      <w:r>
        <w:rPr>
          <w:rFonts w:hint="eastAsia" w:ascii="宋体" w:hAnsi="宋体" w:cs="宋体"/>
          <w:bCs/>
          <w:color w:val="000000"/>
          <w:sz w:val="24"/>
          <w:highlight w:val="none"/>
        </w:rPr>
        <w:t>本理</w:t>
      </w:r>
      <w:r>
        <w:rPr>
          <w:rFonts w:hint="eastAsia" w:ascii="宋体" w:hAnsi="宋体" w:cs="宋体"/>
          <w:bCs/>
          <w:sz w:val="24"/>
          <w:highlight w:val="none"/>
        </w:rPr>
        <w:t>财计划持有单只证券或单只公募</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证券投资基金</w:t>
      </w:r>
      <w:r>
        <w:rPr>
          <w:rFonts w:ascii="宋体" w:hAnsi="宋体" w:cs="宋体"/>
          <w:bCs/>
          <w:sz w:val="24"/>
          <w:highlight w:val="none"/>
        </w:rPr>
        <w:fldChar w:fldCharType="end"/>
      </w:r>
      <w:r>
        <w:rPr>
          <w:rFonts w:ascii="宋体" w:hAnsi="宋体" w:cs="宋体"/>
          <w:bCs/>
          <w:sz w:val="24"/>
          <w:highlight w:val="none"/>
        </w:rPr>
        <w:t>的市值不得超过该理财</w:t>
      </w:r>
      <w:r>
        <w:rPr>
          <w:rFonts w:hint="eastAsia" w:ascii="宋体" w:hAnsi="宋体" w:cs="宋体"/>
          <w:bCs/>
          <w:sz w:val="24"/>
          <w:highlight w:val="none"/>
        </w:rPr>
        <w:t>计划</w:t>
      </w:r>
      <w:r>
        <w:rPr>
          <w:rFonts w:ascii="宋体" w:hAnsi="宋体" w:cs="宋体"/>
          <w:bCs/>
          <w:sz w:val="24"/>
          <w:highlight w:val="none"/>
        </w:rPr>
        <w:t>净资产</w:t>
      </w:r>
      <w:r>
        <w:rPr>
          <w:rFonts w:hint="eastAsia" w:ascii="宋体" w:hAnsi="宋体" w:cs="宋体"/>
          <w:bCs/>
          <w:sz w:val="24"/>
          <w:highlight w:val="none"/>
        </w:rPr>
        <w:t>的</w:t>
      </w:r>
      <w:r>
        <w:rPr>
          <w:rFonts w:ascii="宋体" w:hAnsi="宋体" w:cs="宋体"/>
          <w:bCs/>
          <w:sz w:val="24"/>
          <w:highlight w:val="none"/>
        </w:rPr>
        <w:t>10%</w:t>
      </w:r>
      <w:r>
        <w:rPr>
          <w:rFonts w:hint="eastAsia" w:ascii="宋体" w:hAnsi="宋体" w:cs="宋体"/>
          <w:bCs/>
          <w:sz w:val="24"/>
          <w:highlight w:val="none"/>
        </w:rPr>
        <w:t>。</w:t>
      </w:r>
    </w:p>
    <w:p>
      <w:pPr>
        <w:numPr>
          <w:ilvl w:val="0"/>
          <w:numId w:val="2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管理人发行的全部公募理财计划持有单只证券或单只公募证券投资基金的市值，不得超过该证券市值或该公募证券投资基金市值的30%。</w:t>
      </w:r>
    </w:p>
    <w:p>
      <w:pPr>
        <w:numPr>
          <w:ilvl w:val="0"/>
          <w:numId w:val="2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管理人发行的全部理财计划持有单一上市公司发行的股票，不得超过该上市公司可流通股票的30%。</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国务院银行业监督管理机构另有规定的除外。</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24"/>
        </w:numPr>
        <w:spacing w:line="360" w:lineRule="auto"/>
        <w:jc w:val="left"/>
        <w:rPr>
          <w:rFonts w:hint="eastAsia" w:ascii="宋体" w:hAnsi="宋体" w:cs="宋体"/>
          <w:bCs/>
          <w:sz w:val="24"/>
          <w:highlight w:val="none"/>
        </w:rPr>
      </w:pPr>
      <w:r>
        <w:rPr>
          <w:rFonts w:hint="eastAsia" w:ascii="宋体" w:hAnsi="宋体" w:cs="宋体"/>
          <w:bCs/>
          <w:sz w:val="24"/>
          <w:highlight w:val="none"/>
        </w:rPr>
        <w:t>投资期限限制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本理财计划投资的非标准化债权类资产到期日不得晚于理财计划到期日。</w:t>
      </w:r>
    </w:p>
    <w:p>
      <w:pPr>
        <w:numPr>
          <w:ilvl w:val="0"/>
          <w:numId w:val="24"/>
        </w:numPr>
        <w:spacing w:line="360" w:lineRule="auto"/>
        <w:jc w:val="left"/>
        <w:rPr>
          <w:rFonts w:hint="eastAsia" w:ascii="宋体" w:hAnsi="宋体" w:cs="宋体"/>
          <w:bCs/>
          <w:sz w:val="24"/>
          <w:highlight w:val="none"/>
        </w:rPr>
      </w:pPr>
      <w:r>
        <w:rPr>
          <w:rFonts w:hint="eastAsia" w:ascii="宋体" w:hAnsi="宋体" w:cs="宋体"/>
          <w:bCs/>
          <w:sz w:val="24"/>
          <w:highlight w:val="none"/>
        </w:rPr>
        <w:t>投资杠杆率限制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本理财计划的总资产不得超过净资产的200%。</w:t>
      </w:r>
    </w:p>
    <w:p>
      <w:pPr>
        <w:numPr>
          <w:ilvl w:val="0"/>
          <w:numId w:val="24"/>
        </w:numPr>
        <w:spacing w:line="360" w:lineRule="auto"/>
        <w:jc w:val="left"/>
        <w:rPr>
          <w:rFonts w:hint="eastAsia" w:ascii="宋体" w:hAnsi="宋体" w:cs="宋体"/>
          <w:bCs/>
          <w:sz w:val="24"/>
          <w:highlight w:val="none"/>
        </w:rPr>
      </w:pPr>
      <w:r>
        <w:rPr>
          <w:rFonts w:hint="eastAsia" w:ascii="宋体" w:hAnsi="宋体" w:cs="宋体"/>
          <w:bCs/>
          <w:sz w:val="24"/>
          <w:highlight w:val="none"/>
        </w:rPr>
        <w:t>其他投资限制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资产支持证券</w:t>
      </w:r>
      <w:r>
        <w:rPr>
          <w:rFonts w:ascii="宋体" w:hAnsi="宋体" w:cs="宋体"/>
          <w:bCs/>
          <w:sz w:val="24"/>
          <w:highlight w:val="none"/>
        </w:rPr>
        <w:fldChar w:fldCharType="end"/>
      </w:r>
      <w:r>
        <w:rPr>
          <w:rFonts w:hint="eastAsia" w:ascii="宋体" w:hAnsi="宋体" w:cs="宋体"/>
          <w:bCs/>
          <w:sz w:val="24"/>
          <w:highlight w:val="none"/>
        </w:rPr>
        <w:t>，不得直接或间接投资于未上市公司股权及其受（收）益权。</w:t>
      </w:r>
    </w:p>
    <w:p>
      <w:pPr>
        <w:numPr>
          <w:ilvl w:val="0"/>
          <w:numId w:val="2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lang w:eastAsia="zh-CN"/>
        </w:rPr>
        <w:t>拟</w:t>
      </w:r>
      <w:r>
        <w:rPr>
          <w:rFonts w:hint="eastAsia" w:ascii="宋体" w:hAnsi="宋体" w:cs="宋体"/>
          <w:b/>
          <w:bCs w:val="0"/>
          <w:sz w:val="24"/>
          <w:highlight w:val="none"/>
          <w:lang w:eastAsia="zh-CN"/>
        </w:rPr>
        <w:t>投资市场、资产的流动性风险评估</w:t>
      </w:r>
    </w:p>
    <w:p>
      <w:pPr>
        <w:numPr>
          <w:ilvl w:val="0"/>
          <w:numId w:val="0"/>
        </w:numPr>
        <w:spacing w:line="360" w:lineRule="auto"/>
        <w:ind w:left="420" w:leftChars="0"/>
        <w:jc w:val="left"/>
        <w:rPr>
          <w:rFonts w:hint="eastAsia" w:ascii="宋体" w:hAnsi="宋体" w:cs="宋体"/>
          <w:b w:val="0"/>
          <w:bCs/>
          <w:sz w:val="24"/>
          <w:highlight w:val="none"/>
          <w:lang w:val="en-US" w:eastAsia="zh-CN"/>
        </w:rPr>
      </w:pPr>
      <w:r>
        <w:rPr>
          <w:rFonts w:hint="eastAsia" w:ascii="宋体" w:hAnsi="宋体" w:cs="宋体"/>
          <w:b w:val="0"/>
          <w:bCs/>
          <w:sz w:val="24"/>
          <w:highlight w:val="none"/>
          <w:lang w:eastAsia="zh-CN"/>
        </w:rPr>
        <w:t>本理财计划</w:t>
      </w:r>
      <w:r>
        <w:rPr>
          <w:rFonts w:hint="eastAsia" w:ascii="宋体" w:hAnsi="宋体" w:cs="宋体"/>
          <w:b w:val="0"/>
          <w:bCs/>
          <w:sz w:val="24"/>
          <w:highlight w:val="none"/>
          <w:lang w:val="en-US" w:eastAsia="zh-CN"/>
        </w:rPr>
        <w:t>拟投资市场可能面临的流动性风险如下：</w:t>
      </w:r>
    </w:p>
    <w:p>
      <w:pPr>
        <w:numPr>
          <w:ilvl w:val="0"/>
          <w:numId w:val="26"/>
        </w:numPr>
        <w:spacing w:line="360" w:lineRule="auto"/>
        <w:jc w:val="left"/>
        <w:rPr>
          <w:rFonts w:hint="eastAsia" w:ascii="宋体" w:hAnsi="宋体" w:cs="宋体"/>
          <w:bCs/>
          <w:sz w:val="24"/>
          <w:highlight w:val="none"/>
        </w:rPr>
      </w:pPr>
      <w:r>
        <w:rPr>
          <w:rFonts w:hint="eastAsia" w:ascii="宋体" w:hAnsi="宋体" w:cs="宋体"/>
          <w:bCs/>
          <w:sz w:val="24"/>
          <w:highlight w:val="none"/>
          <w:lang w:eastAsia="zh-CN"/>
        </w:rPr>
        <w:t>投资于</w:t>
      </w:r>
      <w:r>
        <w:rPr>
          <w:rFonts w:hint="eastAsia" w:ascii="宋体" w:hAnsi="宋体" w:cs="宋体"/>
          <w:bCs/>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26"/>
        </w:numPr>
        <w:spacing w:line="360" w:lineRule="auto"/>
        <w:jc w:val="left"/>
        <w:rPr>
          <w:rFonts w:hint="eastAsia" w:ascii="宋体" w:hAnsi="宋体" w:cs="宋体"/>
          <w:bCs/>
          <w:sz w:val="24"/>
          <w:highlight w:val="none"/>
        </w:rPr>
      </w:pPr>
      <w:r>
        <w:rPr>
          <w:rFonts w:hint="eastAsia" w:ascii="宋体" w:hAnsi="宋体" w:cs="宋体"/>
          <w:bCs/>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26"/>
        </w:numPr>
        <w:spacing w:line="360" w:lineRule="auto"/>
        <w:jc w:val="left"/>
        <w:rPr>
          <w:rFonts w:hint="eastAsia" w:ascii="宋体" w:hAnsi="宋体" w:cs="宋体"/>
          <w:bCs/>
          <w:sz w:val="24"/>
          <w:highlight w:val="none"/>
        </w:rPr>
      </w:pPr>
      <w:r>
        <w:rPr>
          <w:rFonts w:hint="eastAsia" w:ascii="宋体" w:hAnsi="宋体" w:cs="宋体"/>
          <w:bCs/>
          <w:sz w:val="24"/>
          <w:highlight w:val="none"/>
          <w:lang w:val="en-US" w:eastAsia="zh-CN"/>
        </w:rPr>
        <w:t>投资于权益类、其他类资产的可能流动性风险（如有）：权益类、其他类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以上风险仅为列举性质，未能详尽列明拟投资市场和资产面临的全部流动性风险</w:t>
      </w:r>
      <w:r>
        <w:rPr>
          <w:rFonts w:hint="default" w:ascii="宋体" w:hAnsi="宋体" w:cs="宋体"/>
          <w:bCs/>
          <w:sz w:val="24"/>
          <w:highlight w:val="none"/>
          <w:lang w:val="en-US" w:eastAsia="zh-CN"/>
        </w:rPr>
        <w:t>可能导致投资者投资本金及收益损失</w:t>
      </w:r>
      <w:r>
        <w:rPr>
          <w:rFonts w:hint="eastAsia" w:ascii="宋体" w:hAnsi="宋体" w:cs="宋体"/>
          <w:bCs/>
          <w:sz w:val="24"/>
          <w:highlight w:val="none"/>
          <w:lang w:val="en-US" w:eastAsia="zh-CN"/>
        </w:rPr>
        <w:t>或延期兑付</w:t>
      </w:r>
      <w:r>
        <w:rPr>
          <w:rFonts w:hint="default" w:ascii="宋体" w:hAnsi="宋体" w:cs="宋体"/>
          <w:bCs/>
          <w:sz w:val="24"/>
          <w:highlight w:val="none"/>
          <w:lang w:val="en-US" w:eastAsia="zh-CN"/>
        </w:rPr>
        <w:t>的所有因素</w:t>
      </w:r>
      <w:r>
        <w:rPr>
          <w:rFonts w:hint="eastAsia" w:ascii="宋体" w:hAnsi="宋体" w:cs="宋体"/>
          <w:bCs/>
          <w:sz w:val="24"/>
          <w:highlight w:val="none"/>
          <w:lang w:val="en-US" w:eastAsia="zh-CN"/>
        </w:rPr>
        <w:t>。管理人会进行标的的分散化投资并结合对各类标的资产的预期流动性合理进行资产配置，最大程度防范流动性风险。</w:t>
      </w:r>
    </w:p>
    <w:p>
      <w:pPr>
        <w:spacing w:line="360" w:lineRule="auto"/>
        <w:ind w:firstLine="480" w:firstLineChars="200"/>
        <w:jc w:val="left"/>
        <w:rPr>
          <w:rFonts w:hint="eastAsia" w:ascii="宋体" w:hAnsi="宋体" w:cs="宋体"/>
          <w:bCs/>
          <w:sz w:val="24"/>
          <w:highlight w:val="none"/>
        </w:rPr>
      </w:pPr>
    </w:p>
    <w:p>
      <w:pPr>
        <w:numPr>
          <w:ilvl w:val="0"/>
          <w:numId w:val="2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合作机构及主要职责</w:t>
      </w:r>
    </w:p>
    <w:p>
      <w:pPr>
        <w:numPr>
          <w:ilvl w:val="0"/>
          <w:numId w:val="28"/>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托管人</w:t>
      </w:r>
    </w:p>
    <w:tbl>
      <w:tblPr>
        <w:tblStyle w:val="8"/>
        <w:tblW w:w="753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托管人名称</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szCs w:val="21"/>
                <w:highlight w:val="none"/>
              </w:rPr>
            </w:pPr>
            <w:r>
              <w:rPr>
                <w:rFonts w:hint="default" w:ascii="宋体" w:hAnsi="宋体" w:eastAsia="宋体" w:cs="宋体"/>
                <w:bCs/>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托管人住所</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eastAsia="宋体" w:cs="宋体"/>
                <w:bCs/>
                <w:szCs w:val="21"/>
                <w:highlight w:val="none"/>
                <w:lang w:val="en-US" w:eastAsia="zh-CN"/>
              </w:rPr>
            </w:pPr>
            <w:r>
              <w:rPr>
                <w:rFonts w:hint="eastAsia" w:ascii="宋体" w:hAnsi="宋体" w:eastAsia="宋体" w:cs="宋体"/>
                <w:bCs/>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托管人职责</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Cs w:val="21"/>
                <w:highlight w:val="none"/>
              </w:rPr>
            </w:pPr>
            <w:r>
              <w:rPr>
                <w:rFonts w:hint="eastAsia" w:ascii="宋体" w:hAnsi="宋体" w:eastAsia="宋体" w:cs="宋体"/>
                <w:bCs/>
                <w:kern w:val="2"/>
                <w:sz w:val="21"/>
                <w:szCs w:val="21"/>
                <w:highlight w:val="none"/>
                <w:lang w:val="en-US" w:eastAsia="zh-CN" w:bidi="ar-SA"/>
              </w:rPr>
              <w:t>主要提供包括账户开立、资金保管、资金结算、估值核对等理财产品托管服务。</w:t>
            </w:r>
          </w:p>
        </w:tc>
      </w:tr>
    </w:tbl>
    <w:p>
      <w:pPr>
        <w:numPr>
          <w:ilvl w:val="0"/>
          <w:numId w:val="29"/>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销售机构</w:t>
      </w:r>
    </w:p>
    <w:tbl>
      <w:tblPr>
        <w:tblStyle w:val="8"/>
        <w:tblW w:w="7517" w:type="dxa"/>
        <w:tblInd w:w="39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0"/>
        <w:gridCol w:w="1626"/>
        <w:gridCol w:w="1225"/>
        <w:gridCol w:w="37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930" w:type="dxa"/>
            <w:vMerge w:val="restart"/>
            <w:tcBorders>
              <w:top w:val="single" w:color="auto" w:sz="4" w:space="0"/>
              <w:left w:val="single" w:color="auto"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销售机构信息</w:t>
            </w: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杭州银行股份有限公司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kern w:val="2"/>
                <w:sz w:val="21"/>
                <w:szCs w:val="21"/>
                <w:lang w:val="en-US" w:eastAsia="zh-CN" w:bidi="ar"/>
              </w:rPr>
              <w:t>浙江省杭州市上城区解放东路168号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95398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苏州银行股份有限公司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江苏省苏州工业园区钟园路728号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96067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厦门银行股份有限公司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福建省厦门市思明区湖滨北路101号商业银行大厦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400-858-8888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中信银行股份有限公司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北京市朝阳区光华路10号院1号楼6-30层、32-42层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95558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齐鲁银行股份有限公司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山东省济南市历下区经十路10817号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400-609-6588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甘肃银行股份有限公司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甘肃省兰州市城关区东岗西路525—1号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4008696666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杭银理财有限责任公司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浙江省杭州市拱墅区庆春路38号金龙财富中心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400-8950-999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绍兴银行股份有限公司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浙江省绍兴市越城区中兴南路1号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4000896528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浙江萧山农村商业银行股份有限公司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浙江省杭州市萧山区城厢街道人民路258号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4008896596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5"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海南银行股份有限公司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海南省海口市龙华区海秀东路31号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0898-96566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秦皇岛银行股份有限公司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河北省秦皇岛市海港区河北大街西段560号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0335-96336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温州银行股份有限公司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浙江省温州市鹿城区会展路1316号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0577-96699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中邮邮惠万家银行有限责任公司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上海市虹口区东大名路1080号25层、26层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95504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大连农村商业银行股份有限公司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辽宁省大连经济技术开发区五彩城A区1栋-A1号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96689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吉林银行股份有限公司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经济开发区东南湖大路1817号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400-88-96666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福建海峡银行股份有限公司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福建省福州市台江区江滨中大道358号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400-893-9999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兰州银行股份有限公司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甘肃省兰州市酒泉路211号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400-88-96799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厦门农村商业银行股份有限公司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中国(福建)自由贸易试验区厦门片区东港北路31号(1层、17层、19层、27-28层、30-31层)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40083-96336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汉口银行股份有限公司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湖北省武汉市江汉区建设大道933号武汉商业银行大厦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400-609-6558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35" w:hRule="atLeast"/>
        </w:trPr>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销售机构职责</w:t>
            </w:r>
          </w:p>
        </w:tc>
        <w:tc>
          <w:tcPr>
            <w:tcW w:w="6587" w:type="dxa"/>
            <w:gridSpan w:val="3"/>
            <w:tcBorders>
              <w:top w:val="single" w:color="000000"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主要负责理财计划推广、投资者风险承受能力评估、投资者适当性管理、理财计划份额认购、申购及赎回办理。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本理财计划后续如新增/减少销售机构或销售机构信息变更，请以管理人最新公告</w:t>
      </w:r>
      <w:r>
        <w:rPr>
          <w:rFonts w:hint="eastAsia" w:ascii="宋体" w:hAnsi="宋体" w:cs="宋体"/>
          <w:bCs/>
          <w:color w:val="000000"/>
          <w:sz w:val="24"/>
          <w:highlight w:val="none"/>
          <w:lang w:eastAsia="zh-CN"/>
        </w:rPr>
        <w:t>或官方网站展示</w:t>
      </w:r>
      <w:r>
        <w:rPr>
          <w:rFonts w:hint="eastAsia" w:ascii="宋体" w:hAnsi="宋体" w:cs="宋体"/>
          <w:bCs/>
          <w:color w:val="000000"/>
          <w:sz w:val="24"/>
          <w:highlight w:val="none"/>
        </w:rPr>
        <w:t>为准。</w:t>
      </w:r>
    </w:p>
    <w:p>
      <w:pPr>
        <w:spacing w:line="360" w:lineRule="auto"/>
        <w:jc w:val="left"/>
        <w:rPr>
          <w:rFonts w:ascii="宋体" w:hAnsi="宋体" w:cs="宋体"/>
          <w:bCs/>
          <w:sz w:val="24"/>
          <w:highlight w:val="none"/>
        </w:rPr>
      </w:pPr>
    </w:p>
    <w:p>
      <w:pPr>
        <w:numPr>
          <w:ilvl w:val="0"/>
          <w:numId w:val="2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估值</w:t>
      </w:r>
    </w:p>
    <w:p>
      <w:pPr>
        <w:numPr>
          <w:ilvl w:val="0"/>
          <w:numId w:val="3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w:t>
      </w:r>
      <w:r>
        <w:rPr>
          <w:rFonts w:hint="eastAsia" w:ascii="宋体" w:hAnsi="宋体" w:cs="宋体"/>
          <w:bCs/>
          <w:color w:val="000000"/>
          <w:sz w:val="24"/>
          <w:highlight w:val="none"/>
        </w:rPr>
        <w:t>日，定期由理财管理人和理财托管人核对估值结果并向投资者披露，具体日期以管理人公告为准。</w:t>
      </w:r>
    </w:p>
    <w:p>
      <w:pPr>
        <w:numPr>
          <w:ilvl w:val="0"/>
          <w:numId w:val="3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3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3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highlight w:val="none"/>
        </w:rPr>
      </w:pPr>
      <w:r>
        <w:rPr>
          <w:rFonts w:hint="eastAsia"/>
          <w:sz w:val="24"/>
          <w:highlight w:val="none"/>
        </w:rPr>
        <w:t>理财计划所投资各类资产按照会计准则和监管要求进行会计分类，并按如下规则进行计量：</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17"/>
        <w:adjustRightInd/>
        <w:spacing w:line="360" w:lineRule="auto"/>
        <w:ind w:firstLine="480" w:firstLineChars="200"/>
        <w:rPr>
          <w:rFonts w:hint="eastAsia" w:ascii="宋体" w:hAnsi="宋体" w:eastAsia="宋体" w:cs="宋体"/>
          <w:bCs/>
          <w:kern w:val="2"/>
          <w:highlight w:val="none"/>
          <w:lang w:eastAsia="zh-CN"/>
        </w:rPr>
      </w:pPr>
      <w:r>
        <w:rPr>
          <w:rFonts w:hint="eastAsia" w:ascii="宋体" w:hAnsi="宋体" w:cs="宋体"/>
          <w:bCs/>
          <w:kern w:val="2"/>
          <w:highlight w:val="none"/>
          <w:lang w:eastAsia="zh-CN"/>
        </w:rPr>
        <w:t>银行存款</w:t>
      </w:r>
      <w:r>
        <w:rPr>
          <w:rFonts w:hint="eastAsia" w:ascii="宋体" w:hAnsi="宋体" w:cs="宋体"/>
          <w:bCs/>
          <w:kern w:val="2"/>
          <w:highlight w:val="none"/>
        </w:rPr>
        <w:t>及回购，以本金列示，按商定利率在实际持有期间内逐日计提利息。</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以收取</w:t>
      </w:r>
      <w:r>
        <w:rPr>
          <w:rFonts w:hint="eastAsia" w:ascii="宋体" w:hAnsi="宋体" w:cs="宋体"/>
          <w:bCs/>
          <w:color w:val="000000"/>
          <w:sz w:val="24"/>
          <w:highlight w:val="none"/>
        </w:rPr>
        <w:t>合同现金流量为目的并持有到期的债券及同业存单类资产，按摊余成本法进行计量。其余债券及同业存单类资产，按市价法估值。市价法不能确定公允价值的，采用估值技术进行估值。</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rPr>
          <w:rFonts w:ascii="宋体" w:hAnsi="宋体" w:cs="宋体"/>
          <w:bCs/>
          <w:color w:val="000000"/>
          <w:sz w:val="24"/>
          <w:highlight w:val="none"/>
        </w:rPr>
      </w:pPr>
      <w:r>
        <w:rPr>
          <w:rFonts w:hint="eastAsia" w:ascii="宋体" w:hAnsi="宋体" w:cs="宋体"/>
          <w:bCs/>
          <w:color w:val="000000"/>
          <w:sz w:val="24"/>
          <w:highlight w:val="none"/>
          <w:lang w:val="en-US" w:eastAsia="zh-CN"/>
        </w:rPr>
        <w:t xml:space="preserve">    对于</w:t>
      </w:r>
      <w:r>
        <w:rPr>
          <w:rFonts w:hint="eastAsia" w:ascii="宋体" w:hAnsi="宋体" w:cs="宋体"/>
          <w:bCs/>
          <w:color w:val="000000"/>
          <w:sz w:val="24"/>
          <w:highlight w:val="none"/>
        </w:rPr>
        <w:t>符合监管要求的债权类资产，按照摊余成本法进行计量。其余债权类资产，按市价法估值。市价法不能确定其公允价值的，采用估值技术进行估值。</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32"/>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32"/>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rPr>
          <w:rFonts w:hint="eastAsia" w:ascii="宋体" w:hAnsi="宋体"/>
          <w:sz w:val="24"/>
          <w:highlight w:val="none"/>
        </w:rPr>
      </w:pPr>
      <w:r>
        <w:rPr>
          <w:rFonts w:hint="eastAsia" w:ascii="宋体" w:hAnsi="宋体" w:cs="宋体"/>
          <w:bCs/>
          <w:color w:val="000000"/>
          <w:sz w:val="24"/>
          <w:highlight w:val="none"/>
          <w:lang w:val="en-US" w:eastAsia="zh-CN"/>
        </w:rPr>
        <w:t xml:space="preserve">      1）</w:t>
      </w:r>
      <w:r>
        <w:rPr>
          <w:rFonts w:hint="eastAsia" w:ascii="宋体" w:hAnsi="宋体"/>
          <w:sz w:val="24"/>
          <w:highlight w:val="none"/>
        </w:rPr>
        <w:t>送股、转增股、配股和公开增发新股等发行未上市的股票，按估值日在证券交易所挂牌的同一股票的市价估值；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2）</w:t>
      </w:r>
      <w:r>
        <w:rPr>
          <w:rFonts w:hint="eastAsia" w:ascii="宋体" w:hAnsi="宋体"/>
          <w:sz w:val="24"/>
          <w:highlight w:val="none"/>
        </w:rPr>
        <w:t>首次公开发行有明确锁定期的股票，同一股票在交易所上市后，按交易所上市的同一股票的市价估值；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3）</w:t>
      </w:r>
      <w:r>
        <w:rPr>
          <w:rFonts w:hint="eastAsia" w:ascii="宋体" w:hAnsi="宋体"/>
          <w:sz w:val="24"/>
          <w:highlight w:val="none"/>
        </w:rPr>
        <w:t>首次发行未上市的股票，按发行价格进行估值；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4）</w:t>
      </w:r>
      <w:r>
        <w:rPr>
          <w:rFonts w:hint="eastAsia" w:ascii="宋体" w:hAnsi="宋体"/>
          <w:sz w:val="24"/>
          <w:highlight w:val="none"/>
        </w:rPr>
        <w:t>因持有股票而享有的配股权，采用估值技术确定公允价值。</w:t>
      </w:r>
    </w:p>
    <w:p>
      <w:pPr>
        <w:numPr>
          <w:ilvl w:val="0"/>
          <w:numId w:val="32"/>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17"/>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其他资产存在公允价值的，按照监管要求进行公允价值估值，公允价值不能确定的按国家最新规定进行估值。</w:t>
      </w:r>
    </w:p>
    <w:p>
      <w:pPr>
        <w:pStyle w:val="17"/>
        <w:spacing w:line="360" w:lineRule="auto"/>
        <w:ind w:firstLine="480" w:firstLineChars="200"/>
        <w:rPr>
          <w:rFonts w:hint="eastAsia" w:ascii="宋体" w:hAnsi="宋体" w:cs="宋体"/>
          <w:bCs/>
          <w:color w:val="000000"/>
          <w:sz w:val="24"/>
          <w:highlight w:val="none"/>
        </w:rPr>
      </w:pPr>
      <w:r>
        <w:rPr>
          <w:rFonts w:hint="eastAsia" w:ascii="宋体" w:hAnsi="宋体" w:cs="宋体"/>
          <w:bCs/>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kern w:val="2"/>
          <w:highlight w:val="none"/>
          <w:lang w:eastAsia="zh-CN"/>
        </w:rPr>
        <w:t>按最能反映公允价值的价格估值，</w:t>
      </w:r>
      <w:r>
        <w:rPr>
          <w:rFonts w:hint="eastAsia" w:ascii="宋体" w:hAnsi="宋体" w:cs="宋体"/>
          <w:bCs/>
          <w:kern w:val="2"/>
          <w:highlight w:val="none"/>
        </w:rPr>
        <w:t>并自协商一致日后执行。</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3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3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暂停估值情形</w:t>
      </w:r>
    </w:p>
    <w:p>
      <w:pPr>
        <w:numPr>
          <w:ilvl w:val="0"/>
          <w:numId w:val="3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3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33"/>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3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2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费用及税收</w:t>
      </w:r>
    </w:p>
    <w:p>
      <w:pPr>
        <w:numPr>
          <w:ilvl w:val="0"/>
          <w:numId w:val="34"/>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费用种类</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、托管费、固定管理费、认购费、浮动管理费以及理财计划运作和清算中产生的其他费用等。</w:t>
      </w:r>
    </w:p>
    <w:p>
      <w:pPr>
        <w:numPr>
          <w:ilvl w:val="0"/>
          <w:numId w:val="34"/>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费用计提方法、标准及支付方式</w:t>
      </w:r>
    </w:p>
    <w:p>
      <w:pPr>
        <w:numPr>
          <w:ilvl w:val="0"/>
          <w:numId w:val="35"/>
        </w:numPr>
        <w:spacing w:line="360" w:lineRule="auto"/>
        <w:jc w:val="left"/>
        <w:rPr>
          <w:rFonts w:hint="eastAsia" w:ascii="宋体" w:hAnsi="宋体" w:cs="宋体"/>
          <w:b/>
          <w:sz w:val="24"/>
          <w:highlight w:val="none"/>
        </w:rPr>
      </w:pPr>
      <w:r>
        <w:rPr>
          <w:rFonts w:hint="eastAsia" w:ascii="宋体" w:hAnsi="宋体" w:cs="宋体"/>
          <w:b/>
          <w:sz w:val="24"/>
          <w:highlight w:val="none"/>
          <w:lang w:eastAsia="zh-CN"/>
        </w:rPr>
        <w:t>销售服务费</w:t>
      </w:r>
    </w:p>
    <w:p>
      <w:pPr>
        <w:pageBreakBefore w:val="0"/>
        <w:spacing w:line="360" w:lineRule="auto"/>
        <w:ind w:left="-1" w:right="-1" w:firstLine="480"/>
        <w:jc w:val="left"/>
        <w:textAlignment w:val="auto"/>
      </w:pPr>
      <w:r>
        <w:rPr>
          <w:rFonts w:ascii="宋体" w:hAnsi="宋体" w:eastAsia="宋体" w:cs="宋体"/>
          <w:b w:val="0"/>
          <w:i w:val="0"/>
          <w:caps w:val="0"/>
          <w:strike w:val="0"/>
          <w:dstrike w:val="0"/>
          <w:shadow w:val="0"/>
          <w:emboss w:val="0"/>
          <w:imprint w:val="0"/>
          <w:color w:val="000000"/>
          <w:kern w:val="2"/>
          <w:position w:val="-1"/>
          <w:sz w:val="24"/>
          <w:u w:val="none"/>
          <w:vertAlign w:val="baseline"/>
        </w:rPr>
        <w:t>理财计划财产分为每日计提销售服务费的〖A份额〗、〖B份额〗、〖C份额〗、〖D份额〗、〖E份额〗、〖F份额〗、〖G份额〗、〖H份额〗、〖I份额〗、〖J份额〗、〖K份额〗、〖L份额〗、〖M份额〗、〖O份额〗、〖P份额〗、〖Q份额〗、〖V份额〗、〖X份额〗和销售服务费于产品成立日一次性收取的〖N份额〗、〖R份额〗、〖S份额〗、〖T份额〗、〖U份额〗、〖W份额〗、〖Y份额〗、〖Z份额〗。A份额的年化销售服务费率为〖0.30%〗, B份额的年化销售服务费率为〖0.20%〗, C份额的年化销售服务费率为〖0.10%〗, D份额的年化销售服务费率为〖0.15%〗, E份额的年化销售服务费率为〖0.40%〗, F份额的年化销售服务费率为〖0.25%〗, G份额的年化销售服务费率为〖0.01%〗, H份额的年化销售服务费率为〖0.20%〗, I份额的年化销售服务费率为〖0.30%〗, J份额的年化销售服务费率为〖0.05%〗, K份额的年化销售服务费率为〖0.30%〗, L份额的年化销售服务费率为〖0.13%〗, M份额的年化销售服务费率为〖0.15%〗, N份额的年化销售服务费率为〖0.20%〗, O份额的年化销售服务费率为〖0.20%〗, P份额的年化销售服务费率为〖0.15%〗, Q份额的年化销售服务费率为〖0.15%〗, R份额的年化销售服务费率为〖0.10%〗, S份额的年化销售服务费率为〖0.15%〗, T份额的年化销售服务费率为〖0.30%〗, U份额的年化销售服务费率为〖0.20%〗, V份额的年化销售服务费率为〖0.10%〗, W份额的年化销售服务费率为〖0.30%〗, X份额的年化销售服务费率为〖0.05%〗, Y份额的年化销售服务费率为〖0.20%〗, Z份额的年化销售服务费率为〖0.10%〗。两种计算方法如下：</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（1）销售费按日计提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H1＝E1×〖0.30%〗÷365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H1为〖A份额〗每日应计提的销售服务费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E1为〖A份额〗前一日资产净值</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销售服务费原则上按日计提。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（2）销售费一次性收取</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H2＝E2×〖0.20%〗×P÷365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H2为〖N份额〗应计提的销售服务费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E2为〖N份额〗成立日产品份额</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P为产品投资期限天数</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销售服务费于产品成立日一次性收取，每日摊销。</w:t>
      </w:r>
    </w:p>
    <w:p>
      <w:pPr>
        <w:numPr>
          <w:ilvl w:val="0"/>
          <w:numId w:val="35"/>
        </w:numPr>
        <w:spacing w:line="360" w:lineRule="auto"/>
        <w:jc w:val="left"/>
        <w:rPr>
          <w:rFonts w:hint="eastAsia" w:ascii="宋体" w:hAnsi="宋体" w:cs="宋体"/>
          <w:b/>
          <w:sz w:val="24"/>
          <w:highlight w:val="none"/>
        </w:rPr>
      </w:pPr>
      <w:r>
        <w:rPr>
          <w:rFonts w:hint="eastAsia" w:ascii="宋体" w:hAnsi="宋体" w:cs="宋体"/>
          <w:b/>
          <w:sz w:val="24"/>
          <w:highlight w:val="none"/>
        </w:rPr>
        <w:t>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理财计划财产的年化托管费为</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kern w:val="2"/>
          <w:sz w:val="24"/>
          <w:szCs w:val="24"/>
          <w:highlight w:val="none"/>
          <w:lang w:val="en-US" w:eastAsia="zh" w:bidi="ar-SA"/>
        </w:rPr>
        <w:t>%</w:t>
      </w:r>
      <w:r>
        <w:rPr>
          <w:rFonts w:hint="eastAsia" w:ascii="宋体" w:hAnsi="宋体" w:cs="宋体"/>
          <w:color w:val="000000"/>
          <w:szCs w:val="21"/>
          <w:highlight w:val="none"/>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color w:val="000000"/>
          <w:sz w:val="24"/>
          <w:szCs w:val="24"/>
          <w:highlight w:val="none"/>
          <w:lang w:eastAsia="zh"/>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托管费原则上按日计提。</w:t>
      </w:r>
    </w:p>
    <w:p>
      <w:pPr>
        <w:numPr>
          <w:ilvl w:val="0"/>
          <w:numId w:val="35"/>
        </w:numPr>
        <w:spacing w:line="360" w:lineRule="auto"/>
        <w:jc w:val="left"/>
        <w:rPr>
          <w:rFonts w:hint="eastAsia" w:ascii="宋体" w:hAnsi="宋体" w:cs="宋体"/>
          <w:b/>
          <w:sz w:val="24"/>
          <w:highlight w:val="none"/>
        </w:rPr>
      </w:pPr>
      <w:r>
        <w:rPr>
          <w:rFonts w:hint="eastAsia" w:ascii="宋体" w:hAnsi="宋体" w:cs="宋体"/>
          <w:b/>
          <w:sz w:val="24"/>
          <w:highlight w:val="none"/>
        </w:rPr>
        <w:t>固定管理费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bCs/>
          <w:color w:val="000000"/>
          <w:kern w:val="2"/>
          <w:sz w:val="24"/>
          <w:szCs w:val="24"/>
          <w:highlight w:val="none"/>
          <w:lang w:val="en-US" w:eastAsia="zh-CN" w:bidi="ar-SA"/>
        </w:rPr>
        <w:t>A份额的年化固定管理费率为〖0.05%〗, B份额的年化固定管理费率为〖0.05%〗, C份额的年化固定管理费率为〖0.05%〗, D份额的年化固定管理费率为〖0.05%〗, E份额的年化固定管理费率为〖0.10%〗, F份额的年化固定管理费率为〖0.05%〗, G份额的年化固定管理费率为〖0.01%〗, H份额的年化固定管理费率为〖0.05%〗, I份额的年化固定管理费率为〖0.05%〗, J份额的年化固定管理费率为〖0.05%〗, K份额的年化固定管理费率为〖0.05%〗, L份额的年化固定管理费率为〖0.02%〗, M份额的年化固定管理费率为〖0.05%〗, N份额的年化固定管理费率为〖0.05%〗, O份额的年化固定管理费率为〖0.05%〗, P份额的年化固定管理费率为〖0.05%〗, Q份额的年化固定管理费率为〖0.05%〗, R份额的年化固定管理费率为〖0.05%〗, S份额的年化固定管理费率为〖0.04%〗, T份额的年化固定管理费率为〖0.05%〗, U份额的年化固定管理费率为〖0.05%〗, V份额的年化固定管理费率为〖0.05%〗, W份额的年化固定管理费率为〖0.05%〗, X份额的年化固定管理费率为〖0.05%〗, Y份额的年化固定管理费率为〖0.05%〗, Z份额的年化固定管理费率为〖0.05%〗, 以〖A份额〗</w:t>
      </w:r>
      <w:r>
        <w:rPr>
          <w:rFonts w:hint="eastAsia" w:ascii="宋体" w:hAnsi="宋体" w:cs="宋体"/>
          <w:bCs/>
          <w:color w:val="000000"/>
          <w:sz w:val="24"/>
          <w:highlight w:val="none"/>
        </w:rPr>
        <w:t>为例，计算方法如下：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0.05</w:t>
      </w:r>
      <w:r>
        <w:rPr>
          <w:rFonts w:hint="eastAsia" w:ascii="宋体" w:hAnsi="宋体" w:cs="宋体"/>
          <w:bCs/>
          <w:color w:val="000000"/>
          <w:kern w:val="2"/>
          <w:sz w:val="24"/>
          <w:szCs w:val="24"/>
          <w:highlight w:val="none"/>
          <w:lang w:val="en-US" w:eastAsia="zh" w:bidi="ar-SA"/>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w:t>
      </w:r>
      <w:r>
        <w:rPr>
          <w:rFonts w:hint="eastAsia" w:ascii="宋体" w:hAnsi="宋体" w:cs="宋体"/>
          <w:bCs/>
          <w:color w:val="000000"/>
          <w:sz w:val="24"/>
          <w:highlight w:val="none"/>
          <w:lang w:eastAsia="zh-CN"/>
        </w:rPr>
        <w:t>固定</w:t>
      </w:r>
      <w:r>
        <w:rPr>
          <w:rFonts w:hint="eastAsia" w:ascii="宋体" w:hAnsi="宋体" w:cs="宋体"/>
          <w:bCs/>
          <w:color w:val="000000"/>
          <w:sz w:val="24"/>
          <w:highlight w:val="none"/>
        </w:rPr>
        <w:t>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eastAsia="宋体" w:cs="宋体"/>
          <w:bCs/>
          <w:color w:val="FF0000"/>
          <w:sz w:val="24"/>
          <w:highlight w:val="none"/>
          <w:lang w:eastAsia="zh-CN"/>
        </w:rPr>
      </w:pPr>
      <w:r>
        <w:rPr>
          <w:rFonts w:hint="eastAsia" w:ascii="宋体" w:hAnsi="宋体" w:cs="宋体"/>
          <w:bCs/>
          <w:color w:val="000000"/>
          <w:sz w:val="24"/>
          <w:highlight w:val="none"/>
        </w:rPr>
        <w:t>固定管理费原则上按日计提</w:t>
      </w:r>
      <w:r>
        <w:rPr>
          <w:rFonts w:hint="eastAsia" w:ascii="宋体" w:hAnsi="宋体" w:cs="宋体"/>
          <w:bCs/>
          <w:color w:val="000000"/>
          <w:sz w:val="24"/>
          <w:highlight w:val="none"/>
          <w:lang w:eastAsia="zh-CN"/>
        </w:rPr>
        <w:t>，管理人有权</w:t>
      </w:r>
      <w:r>
        <w:rPr>
          <w:rFonts w:hint="eastAsia" w:ascii="宋体" w:hAnsi="宋体" w:cs="宋体"/>
          <w:bCs/>
          <w:color w:val="000000"/>
          <w:sz w:val="24"/>
          <w:highlight w:val="none"/>
          <w:lang w:val="en-US" w:eastAsia="zh-CN"/>
        </w:rPr>
        <w:t>根据实际运作情况</w:t>
      </w:r>
      <w:r>
        <w:rPr>
          <w:rFonts w:hint="eastAsia" w:ascii="宋体" w:hAnsi="宋体" w:cs="宋体"/>
          <w:bCs/>
          <w:color w:val="000000"/>
          <w:sz w:val="24"/>
          <w:highlight w:val="none"/>
          <w:lang w:eastAsia="zh-CN"/>
        </w:rPr>
        <w:t>减免固定管理费</w:t>
      </w:r>
      <w:r>
        <w:rPr>
          <w:rFonts w:hint="eastAsia"/>
          <w:color w:val="000000"/>
          <w:lang w:eastAsia="zh"/>
        </w:rPr>
        <w:t>。</w:t>
      </w:r>
    </w:p>
    <w:p>
      <w:pPr>
        <w:numPr>
          <w:ilvl w:val="0"/>
          <w:numId w:val="35"/>
        </w:numPr>
        <w:spacing w:line="360" w:lineRule="auto"/>
        <w:jc w:val="left"/>
        <w:rPr>
          <w:rFonts w:hint="eastAsia" w:ascii="宋体" w:hAnsi="宋体" w:cs="宋体"/>
          <w:b/>
          <w:sz w:val="24"/>
          <w:highlight w:val="none"/>
        </w:rPr>
      </w:pPr>
      <w:r>
        <w:rPr>
          <w:rFonts w:hint="eastAsia" w:ascii="宋体" w:hAnsi="宋体" w:cs="宋体"/>
          <w:b/>
          <w:sz w:val="24"/>
          <w:highlight w:val="none"/>
        </w:rPr>
        <w:t>认购费</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本理财计划免除认购费。</w:t>
      </w:r>
    </w:p>
    <w:p>
      <w:pPr>
        <w:numPr>
          <w:ilvl w:val="0"/>
          <w:numId w:val="35"/>
        </w:numPr>
        <w:spacing w:line="360" w:lineRule="auto"/>
        <w:jc w:val="left"/>
        <w:rPr>
          <w:rFonts w:hint="eastAsia" w:ascii="宋体" w:hAnsi="宋体" w:cs="宋体"/>
          <w:b/>
          <w:sz w:val="24"/>
          <w:highlight w:val="none"/>
        </w:rPr>
      </w:pPr>
      <w:r>
        <w:rPr>
          <w:rFonts w:hint="eastAsia" w:ascii="宋体" w:hAnsi="宋体" w:cs="宋体"/>
          <w:b/>
          <w:sz w:val="24"/>
          <w:highlight w:val="none"/>
        </w:rPr>
        <w:t>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理财管理人根据理财计划投资情况计算浮动管理费，浮动管理费原则上按估值日计提，到期收取。以〖A份额〗为例，具体计算方法如下：</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（1）若本理财计划到期日（提前终止日）的折合年化收益率超过业绩比较基准下限但未达到业绩比较基准上限，则超过业绩比较基准下限的部分管理人收取〖50%〗作为浮动管理费，即：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若本理财计划到期日（提前终止日）的折合年化收益率超过业绩比较基准上限，则〖业绩比较基准下限(含)至上限(含)〗的部分管理人收取〖50%〗作为浮动管理费，超过〖业绩比较基准上限〗的部分管理人收取〖80%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H=E×NAV0×[(K-R)×〖80%〗+(R-S)×〖50%〗]×N÷365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H为理财计划到期（提前终止）时应收取浮动管理费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E为投资者持有份额</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K为收取浮动管理费前投资者持有份额对应持有区间折合年化收益率</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NAV0为理财计划成立日之初的单位净值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NAV1为理财计划到期日未扣除浮动管理费前的单位净值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R为理财计划业绩比较基准上限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S为理财计划业绩比较基准下限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N为理财计划份额成立日（含）至估值日（含）的区间天数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T为理财计划运作期间每单位份额的实际分红金额合计（如有）</w:t>
      </w:r>
    </w:p>
    <w:p>
      <w:pPr>
        <w:numPr>
          <w:ilvl w:val="0"/>
          <w:numId w:val="35"/>
        </w:numPr>
        <w:spacing w:line="360" w:lineRule="auto"/>
        <w:jc w:val="left"/>
        <w:rPr>
          <w:rFonts w:hint="eastAsia" w:ascii="宋体" w:hAnsi="宋体" w:cs="宋体"/>
          <w:b/>
          <w:sz w:val="24"/>
          <w:highlight w:val="none"/>
        </w:rPr>
      </w:pPr>
      <w:r>
        <w:rPr>
          <w:rFonts w:hint="eastAsia" w:ascii="宋体" w:hAnsi="宋体" w:cs="宋体"/>
          <w:b/>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3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财产管理、运用或处分过程中发生的税费。</w:t>
      </w:r>
    </w:p>
    <w:p>
      <w:pPr>
        <w:numPr>
          <w:ilvl w:val="0"/>
          <w:numId w:val="3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代理机构手续费、管理费、财务顾问费、保管费。</w:t>
      </w:r>
    </w:p>
    <w:p>
      <w:pPr>
        <w:numPr>
          <w:ilvl w:val="0"/>
          <w:numId w:val="3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审计费、律师费、公证费等费用。</w:t>
      </w:r>
    </w:p>
    <w:p>
      <w:pPr>
        <w:numPr>
          <w:ilvl w:val="0"/>
          <w:numId w:val="3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管理人自行或委托第三方向本理财计划所投资产所涉及相关主体进行追偿所发生的费用（包括但不限于诉讼费、仲裁费、律师费、保全费等全部费用）。</w:t>
      </w:r>
    </w:p>
    <w:p>
      <w:pPr>
        <w:numPr>
          <w:ilvl w:val="0"/>
          <w:numId w:val="3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理财计划的交易费用（包括但不限于交易佣金、相关账户费用等）及投资其他资管产品的费用。</w:t>
      </w:r>
    </w:p>
    <w:p>
      <w:pPr>
        <w:numPr>
          <w:ilvl w:val="0"/>
          <w:numId w:val="3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监管规定的其他费用。</w:t>
      </w:r>
    </w:p>
    <w:p>
      <w:pPr>
        <w:spacing w:line="360" w:lineRule="auto"/>
        <w:jc w:val="left"/>
        <w:rPr>
          <w:rFonts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3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税收说明</w:t>
      </w:r>
    </w:p>
    <w:p>
      <w:pPr>
        <w:numPr>
          <w:ilvl w:val="0"/>
          <w:numId w:val="38"/>
        </w:numPr>
        <w:spacing w:line="360" w:lineRule="auto"/>
        <w:jc w:val="left"/>
        <w:rPr>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38"/>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38"/>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highlight w:val="none"/>
        </w:rPr>
      </w:pPr>
    </w:p>
    <w:p>
      <w:pPr>
        <w:numPr>
          <w:ilvl w:val="0"/>
          <w:numId w:val="2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收益计算</w:t>
      </w:r>
    </w:p>
    <w:p>
      <w:pPr>
        <w:numPr>
          <w:ilvl w:val="0"/>
          <w:numId w:val="39"/>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投资者理财收益＝认购份额×到期日（提前终止日）单位净值+份额持有期间累计分红-认购金额</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认购份额=认购金额</w:t>
      </w:r>
      <w:r>
        <w:rPr>
          <w:rFonts w:hint="eastAsia" w:ascii="宋体" w:hAnsi="宋体" w:cs="宋体"/>
          <w:bCs/>
          <w:color w:val="000000"/>
          <w:sz w:val="24"/>
          <w:szCs w:val="24"/>
          <w:highlight w:val="none"/>
        </w:rPr>
        <w:t>÷</w:t>
      </w:r>
      <w:r>
        <w:rPr>
          <w:rFonts w:hint="eastAsia" w:ascii="宋体" w:hAnsi="宋体" w:cs="宋体"/>
          <w:bCs/>
          <w:color w:val="000000"/>
          <w:sz w:val="24"/>
          <w:highlight w:val="none"/>
        </w:rPr>
        <w:t>1元。</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到期日（提前终止日）单位净值为提取相关费用及税费后的单位理财计划份额净值。</w:t>
      </w:r>
    </w:p>
    <w:p>
      <w:pPr>
        <w:numPr>
          <w:ilvl w:val="0"/>
          <w:numId w:val="39"/>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示例说明</w:t>
      </w:r>
    </w:p>
    <w:p>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以下示例均为假设情况，不构成业绩预测，不代表本理财计划实际投资业绩。</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示例一</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1.0615，此时，(1.0615÷1.0000-1)×365÷362=6.20%&gt;5.00%，即在〖4.00%-5.00%〗部分的投资收益管理人收取</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%作为浮动管理费，超过〖5.00%〗部分的投资收益管理人收取</w:t>
      </w:r>
      <w:r>
        <w:rPr>
          <w:rFonts w:hint="eastAsia" w:ascii="宋体" w:hAnsi="宋体" w:cs="宋体"/>
          <w:color w:val="000000"/>
          <w:kern w:val="2"/>
          <w:sz w:val="24"/>
          <w:szCs w:val="24"/>
          <w:lang w:val="en-US" w:eastAsia="zh" w:bidi="ar"/>
        </w:rPr>
        <w:t>80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100,000×1.0000×{[（1.0615÷1.0000-1）×365÷362-5.00%]×</w:t>
      </w:r>
      <w:r>
        <w:rPr>
          <w:rFonts w:hint="eastAsia" w:ascii="宋体" w:hAnsi="宋体" w:cs="宋体"/>
          <w:color w:val="000000"/>
          <w:kern w:val="2"/>
          <w:sz w:val="24"/>
          <w:szCs w:val="24"/>
          <w:lang w:val="en-US" w:eastAsia="zh" w:bidi="ar"/>
        </w:rPr>
        <w:t>80</w:t>
      </w:r>
      <w:r>
        <w:rPr>
          <w:rFonts w:hint="eastAsia" w:ascii="宋体" w:hAnsi="宋体" w:eastAsia="宋体" w:cs="宋体"/>
          <w:color w:val="000000"/>
          <w:kern w:val="2"/>
          <w:sz w:val="24"/>
          <w:szCs w:val="24"/>
          <w:lang w:val="en-US" w:eastAsia="zh-CN" w:bidi="ar"/>
        </w:rPr>
        <w:t>%+(5.00%-4.00%)×</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77</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100,000.00×（1.0615-1.0000）-</w:t>
      </w:r>
      <w:r>
        <w:rPr>
          <w:rFonts w:hint="eastAsia" w:ascii="宋体" w:hAnsi="宋体" w:cs="宋体"/>
          <w:color w:val="000000"/>
          <w:kern w:val="2"/>
          <w:sz w:val="24"/>
          <w:szCs w:val="24"/>
          <w:lang w:val="en-US" w:eastAsia="zh"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77</w:t>
      </w:r>
      <w:r>
        <w:rPr>
          <w:rFonts w:hint="eastAsia" w:ascii="宋体" w:hAnsi="宋体" w:eastAsia="宋体" w:cs="宋体"/>
          <w:color w:val="000000"/>
          <w:kern w:val="2"/>
          <w:sz w:val="24"/>
          <w:szCs w:val="24"/>
          <w:lang w:val="en-US" w:eastAsia="zh-CN" w:bidi="ar"/>
        </w:rPr>
        <w:t>= 4,</w:t>
      </w:r>
      <w:r>
        <w:rPr>
          <w:rFonts w:hint="eastAsia" w:ascii="宋体" w:hAnsi="宋体" w:cs="宋体"/>
          <w:color w:val="000000"/>
          <w:kern w:val="2"/>
          <w:sz w:val="24"/>
          <w:szCs w:val="24"/>
          <w:lang w:val="en-US" w:eastAsia="zh" w:bidi="ar"/>
        </w:rPr>
        <w:t>701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23</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示例二</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扣除托管费、固定管理费、销售服务费（如有）后，投资收益率超过业绩比较基准下限，但未达到业绩比较基准上限。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1.0415，此时，(1.0415÷1.0000-1)×365÷362=4.18%，即投资收益超过〖4.00%〗但未达到〖5.00%〗，则超过〖4.00%〗部分的投资收益管理人收取</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100,000.00×1.0000×[(1.0415÷1.0000-1)×365÷362-4.00%]×</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 w:bidi="ar"/>
        </w:rPr>
        <w:t>91.44</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100,000.00×（1.0415-1.0000）-</w:t>
      </w:r>
      <w:r>
        <w:rPr>
          <w:rFonts w:hint="eastAsia" w:ascii="宋体" w:hAnsi="宋体" w:cs="宋体"/>
          <w:color w:val="000000"/>
          <w:kern w:val="2"/>
          <w:sz w:val="24"/>
          <w:szCs w:val="24"/>
          <w:lang w:val="en-US" w:eastAsia="zh" w:bidi="ar"/>
        </w:rPr>
        <w:t>91.44</w:t>
      </w:r>
      <w:r>
        <w:rPr>
          <w:rFonts w:hint="eastAsia" w:ascii="宋体" w:hAnsi="宋体" w:eastAsia="宋体" w:cs="宋体"/>
          <w:color w:val="000000"/>
          <w:kern w:val="2"/>
          <w:sz w:val="24"/>
          <w:szCs w:val="24"/>
          <w:lang w:val="en-US" w:eastAsia="zh-CN" w:bidi="ar"/>
        </w:rPr>
        <w:t xml:space="preserve"> =4,0</w:t>
      </w:r>
      <w:r>
        <w:rPr>
          <w:rFonts w:hint="eastAsia" w:ascii="宋体" w:hAnsi="宋体" w:cs="宋体"/>
          <w:color w:val="000000"/>
          <w:kern w:val="2"/>
          <w:sz w:val="24"/>
          <w:szCs w:val="24"/>
          <w:lang w:val="en-US" w:eastAsia="zh" w:bidi="ar"/>
        </w:rPr>
        <w:t>58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56</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示例三</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扣除托管费、固定管理费、销售服务费（如有）后，投资收益率未达到〖业绩比较基准下限〗。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1.0362，此时，(1.0362÷1.0000-1)×365÷362=3.65%&lt;4.00%，即投资收益未达到〖4.00%〗，则投资管理人不收取浮动管理费，投资者最终收益为：100,000.00×(1.0365-1.0000）=3,650.00（元）</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示例四</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扣除托管费、固定管理费、销售服务费（如有）后，投资发生亏损。</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元，折算份额为100,000.00份，假设份额成立日（含）至估值日（含）的区间天数为362天,业绩比较基准为4.00%-5.00%。假设理财产品到期时扣除托管费、固定管理费、销售服务费（如有）后，如理财计划未扣除浮动管理费前的净值为0.9975，则投资管理人不收取浮动管理费，投资者最终收益为：100,000.00×（0.9975-1.0000）=-250.00（元）。</w:t>
      </w:r>
    </w:p>
    <w:p>
      <w:pPr>
        <w:numPr>
          <w:ilvl w:val="0"/>
          <w:numId w:val="39"/>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2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交易规则</w:t>
      </w:r>
    </w:p>
    <w:p>
      <w:pPr>
        <w:numPr>
          <w:ilvl w:val="0"/>
          <w:numId w:val="4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认购</w:t>
      </w:r>
    </w:p>
    <w:p>
      <w:pPr>
        <w:numPr>
          <w:ilvl w:val="0"/>
          <w:numId w:val="42"/>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sz w:val="24"/>
          <w:highlight w:val="none"/>
          <w:lang w:eastAsia="zh-CN"/>
        </w:rPr>
        <w:t>（具体以销售机构要求为准）</w:t>
      </w:r>
    </w:p>
    <w:p>
      <w:pPr>
        <w:numPr>
          <w:ilvl w:val="0"/>
          <w:numId w:val="42"/>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42"/>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4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成立</w:t>
      </w:r>
    </w:p>
    <w:p>
      <w:pPr>
        <w:numPr>
          <w:ilvl w:val="0"/>
          <w:numId w:val="4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43"/>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4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申购及赎回</w:t>
      </w:r>
    </w:p>
    <w:p>
      <w:pPr>
        <w:spacing w:line="360" w:lineRule="auto"/>
        <w:ind w:firstLine="480" w:firstLineChars="200"/>
        <w:jc w:val="left"/>
        <w:rPr>
          <w:rFonts w:ascii="宋体" w:hAnsi="宋体" w:cs="宋体"/>
          <w:b/>
          <w:sz w:val="24"/>
          <w:highlight w:val="none"/>
        </w:rPr>
      </w:pPr>
      <w:r>
        <w:rPr>
          <w:rFonts w:hint="eastAsia" w:ascii="宋体" w:hAnsi="宋体" w:cs="宋体"/>
          <w:bCs/>
          <w:sz w:val="24"/>
          <w:highlight w:val="none"/>
        </w:rPr>
        <w:t>本理财计划封闭式运作，存续期间不开放申购和赎回。</w:t>
      </w:r>
    </w:p>
    <w:p>
      <w:pPr>
        <w:numPr>
          <w:ilvl w:val="0"/>
          <w:numId w:val="4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到期清算</w:t>
      </w:r>
    </w:p>
    <w:p>
      <w:pPr>
        <w:keepNext w:val="0"/>
        <w:keepLines w:val="0"/>
        <w:widowControl w:val="0"/>
        <w:suppressLineNumbers w:val="0"/>
        <w:spacing w:before="0" w:beforeAutospacing="0" w:after="0" w:afterAutospacing="0" w:line="360" w:lineRule="auto"/>
        <w:ind w:left="0" w:right="0" w:firstLine="480" w:firstLineChars="200"/>
        <w:jc w:val="both"/>
        <w:rPr>
          <w:rFonts w:ascii="宋体" w:hAnsi="宋体" w:cs="宋体"/>
          <w:bCs/>
          <w:sz w:val="24"/>
          <w:highlight w:val="none"/>
        </w:rPr>
      </w:pPr>
      <w:r>
        <w:rPr>
          <w:rFonts w:hint="eastAsia" w:ascii="宋体" w:hAnsi="宋体" w:cs="宋体"/>
          <w:bCs/>
          <w:sz w:val="24"/>
          <w:highlight w:val="none"/>
        </w:rPr>
        <w:t>正常到期清算：本理财计划终止后，管理人将按照清算后的资产净值按持有份额比例对投资者进行分配，并通过销售机构最快</w:t>
      </w:r>
      <w:r>
        <w:rPr>
          <w:rFonts w:hint="eastAsia" w:ascii="宋体" w:hAnsi="宋体" w:eastAsia="宋体" w:cs="宋体"/>
          <w:kern w:val="2"/>
          <w:sz w:val="24"/>
          <w:szCs w:val="24"/>
          <w:lang w:val="en-US" w:eastAsia="zh-CN" w:bidi="ar"/>
        </w:rPr>
        <w:t>〖1〗个〖工作日〗</w:t>
      </w:r>
      <w:r>
        <w:rPr>
          <w:rFonts w:hint="eastAsia" w:ascii="宋体" w:hAnsi="宋体" w:cs="宋体"/>
          <w:bCs/>
          <w:sz w:val="24"/>
          <w:highlight w:val="none"/>
        </w:rPr>
        <w:t>、最晚</w:t>
      </w:r>
      <w:r>
        <w:rPr>
          <w:rFonts w:hint="eastAsia" w:ascii="宋体" w:hAnsi="宋体" w:eastAsia="宋体" w:cs="宋体"/>
          <w:kern w:val="2"/>
          <w:sz w:val="24"/>
          <w:szCs w:val="24"/>
          <w:lang w:val="en-US" w:eastAsia="zh-CN" w:bidi="ar"/>
        </w:rPr>
        <w:t>〖3〗个〖工作日〗</w:t>
      </w:r>
      <w:r>
        <w:rPr>
          <w:rFonts w:hint="eastAsia" w:ascii="宋体" w:hAnsi="宋体" w:cs="宋体"/>
          <w:bCs/>
          <w:sz w:val="24"/>
          <w:highlight w:val="none"/>
        </w:rPr>
        <w:t>内（遇节假日顺延）将资金按规定的要求划入投资者授权指定的理财账户。（具体以销售机构规定为准）</w:t>
      </w:r>
    </w:p>
    <w:p>
      <w:pPr>
        <w:numPr>
          <w:ilvl w:val="0"/>
          <w:numId w:val="4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提前终止</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在理财计划期限内，管理人根据投资情况有提前终止权，于本理财计划提前终止日前</w:t>
      </w:r>
      <w:r>
        <w:rPr>
          <w:rFonts w:hint="eastAsia" w:ascii="宋体" w:hAnsi="宋体" w:cs="宋体"/>
          <w:sz w:val="24"/>
          <w:szCs w:val="24"/>
          <w:highlight w:val="none"/>
        </w:rPr>
        <w:t>〖</w:t>
      </w:r>
      <w:r>
        <w:rPr>
          <w:rFonts w:hint="eastAsia" w:ascii="宋体" w:hAnsi="宋体" w:cs="宋体"/>
          <w:bCs/>
          <w:color w:val="000000"/>
          <w:sz w:val="24"/>
          <w:highlight w:val="none"/>
        </w:rPr>
        <w:t>2〗</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〗通过管理人或销售机构发布提前终止公告，并于终止日后</w:t>
      </w:r>
      <w:r>
        <w:rPr>
          <w:rFonts w:hint="eastAsia" w:ascii="宋体" w:hAnsi="宋体" w:cs="宋体"/>
          <w:sz w:val="24"/>
          <w:szCs w:val="24"/>
          <w:highlight w:val="none"/>
        </w:rPr>
        <w:t>〖</w:t>
      </w:r>
      <w:r>
        <w:rPr>
          <w:rFonts w:hint="eastAsia" w:ascii="宋体" w:hAnsi="宋体" w:cs="宋体"/>
          <w:kern w:val="2"/>
          <w:sz w:val="24"/>
          <w:szCs w:val="24"/>
          <w:highlight w:val="none"/>
          <w:lang w:val="en-US" w:eastAsia="zh" w:bidi="ar-SA"/>
        </w:rPr>
        <w:t>3</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如发生以下事项时，管理人可对本理财计划行使全部</w:t>
      </w:r>
      <w:r>
        <w:rPr>
          <w:rFonts w:hint="eastAsia" w:ascii="宋体" w:hAnsi="宋体" w:cs="宋体"/>
          <w:b/>
          <w:sz w:val="24"/>
          <w:highlight w:val="none"/>
          <w:lang w:eastAsia="zh-CN"/>
        </w:rPr>
        <w:t>或部分</w:t>
      </w:r>
      <w:r>
        <w:rPr>
          <w:rFonts w:hint="eastAsia" w:ascii="宋体" w:hAnsi="宋体" w:cs="宋体"/>
          <w:b/>
          <w:sz w:val="24"/>
          <w:highlight w:val="none"/>
        </w:rPr>
        <w:t>提前终止权：</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rPr>
        <w:t>如因本理财计划资产运作模式等与法律法规、规章的规定或者监管部门的要求等存在冲突导致理财计划必须提前终止的。</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rPr>
        <w:t>国家有关法律、法规、规章、政策的改变、紧急措施的出台、理财市场环境发生重大变化等导致理财计划必须提前终止的。</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rPr>
        <w:t>因不可抗力因素导致本理财计划必须提前终止的。</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rPr>
        <w:t>理财计划的投资策略已不适合当前的市场环境的。</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lang w:eastAsia="zh-CN"/>
        </w:rPr>
        <w:t>融资人行使提前到期或还款权利的。</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rPr>
        <w:t>管理人认为应该提前终止的其他情形。</w:t>
      </w:r>
    </w:p>
    <w:p>
      <w:pPr>
        <w:numPr>
          <w:ilvl w:val="0"/>
          <w:numId w:val="4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延期</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预计在理财计划预计到期日，理财计划资产因市场风险、信用风险等原因无法全部变现。</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预计理财计划所投资的信托计划、资管计划、私募基金的受托人或管理人不能按时向管理人划付理财计划的本金和收益。</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理财计划财产涉及诉讼或仲裁，且预计诉讼或仲裁执行程序于理财计划到期日尚未终结。</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管理人与托管人、销售机构协商一致决定延期。</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法律法规规定的或管理人认为有必要延期的其他情形。</w:t>
      </w:r>
    </w:p>
    <w:p>
      <w:pPr>
        <w:spacing w:line="360" w:lineRule="auto"/>
        <w:jc w:val="left"/>
        <w:rPr>
          <w:rFonts w:ascii="宋体" w:hAnsi="宋体" w:cs="宋体"/>
          <w:b/>
          <w:sz w:val="24"/>
          <w:highlight w:val="none"/>
        </w:rPr>
      </w:pPr>
    </w:p>
    <w:p>
      <w:pPr>
        <w:numPr>
          <w:ilvl w:val="0"/>
          <w:numId w:val="2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信息披露</w:t>
      </w:r>
    </w:p>
    <w:p>
      <w:pPr>
        <w:numPr>
          <w:ilvl w:val="0"/>
          <w:numId w:val="46"/>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披露内容及时间</w:t>
      </w:r>
    </w:p>
    <w:p>
      <w:pPr>
        <w:numPr>
          <w:ilvl w:val="0"/>
          <w:numId w:val="47"/>
        </w:numPr>
        <w:spacing w:line="360" w:lineRule="auto"/>
        <w:jc w:val="left"/>
        <w:rPr>
          <w:rFonts w:hint="eastAsia" w:ascii="宋体" w:hAnsi="宋体" w:cs="宋体"/>
          <w:b/>
          <w:sz w:val="24"/>
          <w:highlight w:val="none"/>
        </w:rPr>
      </w:pPr>
      <w:r>
        <w:rPr>
          <w:rFonts w:hint="eastAsia" w:ascii="宋体" w:hAnsi="宋体" w:cs="宋体"/>
          <w:b/>
          <w:sz w:val="24"/>
          <w:highlight w:val="none"/>
        </w:rPr>
        <w:t>认购信息披露</w:t>
      </w:r>
    </w:p>
    <w:p>
      <w:pPr>
        <w:numPr>
          <w:ilvl w:val="0"/>
          <w:numId w:val="48"/>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48"/>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47"/>
        </w:numPr>
        <w:spacing w:line="360" w:lineRule="auto"/>
        <w:jc w:val="left"/>
        <w:rPr>
          <w:rFonts w:hint="eastAsia" w:ascii="宋体" w:hAnsi="宋体" w:cs="宋体"/>
          <w:b/>
          <w:sz w:val="24"/>
          <w:highlight w:val="none"/>
        </w:rPr>
      </w:pPr>
      <w:r>
        <w:rPr>
          <w:rFonts w:hint="eastAsia" w:ascii="宋体" w:hAnsi="宋体" w:cs="宋体"/>
          <w:b/>
          <w:sz w:val="24"/>
          <w:highlight w:val="none"/>
        </w:rPr>
        <w:t>运作信息披露</w:t>
      </w:r>
    </w:p>
    <w:p>
      <w:pPr>
        <w:numPr>
          <w:ilvl w:val="0"/>
          <w:numId w:val="49"/>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理财计划净值：管理人应在理财计划成立后，每周披露一次净值。</w:t>
      </w:r>
    </w:p>
    <w:p>
      <w:pPr>
        <w:numPr>
          <w:ilvl w:val="0"/>
          <w:numId w:val="49"/>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sz w:val="24"/>
          <w:highlight w:val="none"/>
          <w:lang w:eastAsia="zh-CN"/>
        </w:rPr>
        <w:t>如本理财计划成立不足</w:t>
      </w:r>
      <w:r>
        <w:rPr>
          <w:rFonts w:hint="eastAsia" w:ascii="宋体" w:hAnsi="宋体" w:cs="宋体"/>
          <w:bCs/>
          <w:color w:val="000000"/>
          <w:sz w:val="24"/>
          <w:highlight w:val="none"/>
          <w:lang w:val="en-US" w:eastAsia="zh-CN"/>
        </w:rPr>
        <w:t>90个工作日或剩余存续期不超过90个工作日的，管理人可不编制当期的季度、半年和年度报告等运行报告。</w:t>
      </w:r>
    </w:p>
    <w:p>
      <w:pPr>
        <w:numPr>
          <w:ilvl w:val="0"/>
          <w:numId w:val="49"/>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47"/>
        </w:numPr>
        <w:spacing w:line="360" w:lineRule="auto"/>
        <w:jc w:val="left"/>
        <w:rPr>
          <w:rFonts w:hint="eastAsia" w:ascii="宋体" w:hAnsi="宋体" w:cs="宋体"/>
          <w:b/>
          <w:sz w:val="24"/>
          <w:highlight w:val="none"/>
        </w:rPr>
      </w:pPr>
      <w:r>
        <w:rPr>
          <w:rFonts w:hint="eastAsia" w:ascii="宋体" w:hAnsi="宋体" w:cs="宋体"/>
          <w:b/>
          <w:sz w:val="24"/>
          <w:highlight w:val="none"/>
        </w:rPr>
        <w:t>临时信息披露</w:t>
      </w:r>
    </w:p>
    <w:p>
      <w:pPr>
        <w:numPr>
          <w:ilvl w:val="0"/>
          <w:numId w:val="5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rPr>
        <w:t>应在发生可能对理财计划投资者或者理财计划收益产生重大事项的事件后2个工作日内发布重大事项公告。</w:t>
      </w:r>
    </w:p>
    <w:p>
      <w:pPr>
        <w:numPr>
          <w:ilvl w:val="0"/>
          <w:numId w:val="50"/>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46"/>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highlight w:val="none"/>
        </w:rPr>
      </w:pPr>
    </w:p>
    <w:p>
      <w:pPr>
        <w:numPr>
          <w:ilvl w:val="0"/>
          <w:numId w:val="2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其他</w:t>
      </w:r>
    </w:p>
    <w:p>
      <w:pPr>
        <w:numPr>
          <w:ilvl w:val="0"/>
          <w:numId w:val="5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追索条款</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51"/>
        </w:numPr>
        <w:tabs>
          <w:tab w:val="left" w:pos="6090"/>
        </w:tabs>
        <w:spacing w:line="360" w:lineRule="auto"/>
        <w:jc w:val="left"/>
        <w:outlineLvl w:val="9"/>
        <w:rPr>
          <w:rFonts w:hint="eastAsia" w:ascii="宋体" w:hAnsi="宋体" w:cs="宋体"/>
          <w:b/>
          <w:sz w:val="24"/>
          <w:highlight w:val="none"/>
        </w:rPr>
      </w:pPr>
      <w:r>
        <w:rPr>
          <w:rFonts w:hint="eastAsia" w:ascii="宋体" w:hAnsi="宋体" w:cs="宋体"/>
          <w:b/>
          <w:sz w:val="24"/>
          <w:highlight w:val="none"/>
        </w:rPr>
        <w:t>信息安全</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bCs w:val="0"/>
          <w:color w:val="000000"/>
          <w:sz w:val="24"/>
          <w:highlight w:val="none"/>
        </w:rPr>
        <w:t>投资者在此同意并授权，管理人可根据监管要求，为理财计划登记等需要，向登记部门或监管机构提供投资者相关信息</w:t>
      </w:r>
      <w:r>
        <w:rPr>
          <w:rFonts w:hint="eastAsia" w:ascii="宋体" w:hAnsi="宋体" w:cs="宋体"/>
          <w:b/>
          <w:bCs w:val="0"/>
          <w:color w:val="000000"/>
          <w:sz w:val="24"/>
          <w:highlight w:val="none"/>
          <w:lang w:eastAsia="zh-CN"/>
        </w:rPr>
        <w:t>，</w:t>
      </w:r>
      <w:r>
        <w:rPr>
          <w:rFonts w:hint="eastAsia" w:ascii="宋体" w:hAnsi="宋体" w:cs="宋体"/>
          <w:b/>
          <w:bCs w:val="0"/>
          <w:color w:val="000000"/>
          <w:sz w:val="24"/>
          <w:highlight w:val="none"/>
          <w:lang w:val="en-US" w:eastAsia="zh-CN"/>
        </w:rPr>
        <w:t>授权使用时限与履行相关法律法规和监管要求的必要时限一致</w:t>
      </w:r>
      <w:r>
        <w:rPr>
          <w:rFonts w:hint="eastAsia" w:ascii="宋体" w:hAnsi="宋体" w:cs="宋体"/>
          <w:b/>
          <w:bCs w:val="0"/>
          <w:color w:val="000000"/>
          <w:sz w:val="24"/>
          <w:highlight w:val="none"/>
        </w:rPr>
        <w:t>。</w:t>
      </w:r>
    </w:p>
    <w:p>
      <w:pPr>
        <w:numPr>
          <w:ilvl w:val="0"/>
          <w:numId w:val="5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val="en-US" w:eastAsia="zh-CN"/>
        </w:rPr>
        <w:t>被告人</w:t>
      </w:r>
      <w:r>
        <w:rPr>
          <w:rFonts w:hint="eastAsia" w:ascii="宋体" w:hAnsi="宋体" w:cs="宋体"/>
          <w:bCs/>
          <w:color w:val="000000"/>
          <w:sz w:val="24"/>
          <w:highlight w:val="none"/>
        </w:rPr>
        <w:t>所在地有管辖权的人民法院诉讼解决。</w:t>
      </w:r>
    </w:p>
    <w:p>
      <w:pPr>
        <w:numPr>
          <w:ilvl w:val="0"/>
          <w:numId w:val="5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rPr>
          <w:rFonts w:ascii="宋体" w:hAnsi="宋体" w:cs="宋体"/>
          <w:bCs/>
          <w:color w:val="000000"/>
          <w:sz w:val="24"/>
          <w:highlight w:val="none"/>
        </w:rPr>
      </w:pPr>
      <w:r>
        <w:rPr>
          <w:rFonts w:ascii="宋体" w:hAnsi="宋体" w:cs="宋体"/>
          <w:bCs/>
          <w:color w:val="000000"/>
          <w:sz w:val="24"/>
          <w:highlight w:val="none"/>
        </w:rPr>
        <w:br w:type="page"/>
      </w:r>
    </w:p>
    <w:p>
      <w:pPr>
        <w:spacing w:line="360" w:lineRule="auto"/>
        <w:jc w:val="center"/>
        <w:outlineLvl w:val="9"/>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杭银理财投资者权益须知</w:t>
      </w:r>
    </w:p>
    <w:p>
      <w:pPr>
        <w:jc w:val="center"/>
        <w:rPr>
          <w:rFonts w:hint="eastAsia" w:ascii="宋体" w:hAnsi="宋体" w:cs="宋体"/>
          <w:b/>
          <w:bCs/>
          <w:color w:val="000000"/>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理财非存款、产品有风险、投资须谨慎</w:t>
      </w:r>
    </w:p>
    <w:p>
      <w:pPr>
        <w:spacing w:line="360" w:lineRule="auto"/>
        <w:rPr>
          <w:rFonts w:hint="eastAsia" w:ascii="宋体" w:hAnsi="宋体" w:cs="宋体"/>
          <w:kern w:val="0"/>
          <w:sz w:val="24"/>
          <w:highlight w:val="none"/>
        </w:rPr>
      </w:pPr>
      <w:r>
        <w:rPr>
          <w:rFonts w:hint="eastAsia" w:ascii="宋体" w:hAnsi="宋体" w:cs="宋体"/>
          <w:kern w:val="0"/>
          <w:sz w:val="24"/>
          <w:highlight w:val="none"/>
        </w:rPr>
        <w:t>尊敬的投资者：</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52"/>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理财计划办理流程</w:t>
      </w:r>
    </w:p>
    <w:p>
      <w:pPr>
        <w:numPr>
          <w:ilvl w:val="0"/>
          <w:numId w:val="53"/>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53"/>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首次在销售机构购买杭银理财理财计划的个人投资者须接受并完成销售机构对您的风险承受能力评估，并确认风险承受能力等级不低于本理财计划风险评级。</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numPr>
          <w:ilvl w:val="0"/>
          <w:numId w:val="53"/>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投资者应仔细阅读本理财计划完整合同（包括但不限于</w:t>
      </w:r>
      <w:r>
        <w:rPr>
          <w:rFonts w:hint="eastAsia" w:ascii="宋体" w:hAnsi="宋体" w:cs="宋体"/>
          <w:kern w:val="0"/>
          <w:sz w:val="24"/>
          <w:highlight w:val="none"/>
          <w:lang w:eastAsia="zh-CN"/>
        </w:rPr>
        <w:t>理财计划</w:t>
      </w:r>
      <w:r>
        <w:rPr>
          <w:rFonts w:hint="eastAsia" w:ascii="宋体" w:hAnsi="宋体" w:cs="宋体"/>
          <w:kern w:val="0"/>
          <w:sz w:val="24"/>
          <w:highlight w:val="none"/>
        </w:rPr>
        <w:t>风险揭示书、理财计划产品说明书、投资者权益须知</w:t>
      </w:r>
      <w:r>
        <w:rPr>
          <w:rFonts w:hint="eastAsia" w:ascii="宋体" w:hAnsi="宋体" w:cs="宋体"/>
          <w:kern w:val="0"/>
          <w:sz w:val="24"/>
          <w:highlight w:val="none"/>
          <w:lang w:eastAsia="zh-CN"/>
        </w:rPr>
        <w:t>、</w:t>
      </w:r>
      <w:r>
        <w:rPr>
          <w:rFonts w:hint="eastAsia" w:ascii="宋体" w:hAnsi="宋体" w:cs="宋体"/>
          <w:kern w:val="0"/>
          <w:sz w:val="24"/>
          <w:highlight w:val="none"/>
        </w:rPr>
        <w:t>理财计划投资协议书</w:t>
      </w:r>
      <w:r>
        <w:rPr>
          <w:rFonts w:hint="eastAsia" w:ascii="宋体" w:hAnsi="宋体" w:cs="宋体"/>
          <w:kern w:val="0"/>
          <w:sz w:val="24"/>
          <w:highlight w:val="none"/>
          <w:lang w:eastAsia="zh-CN"/>
        </w:rPr>
        <w:t>和理财计划（</w:t>
      </w:r>
      <w:r>
        <w:rPr>
          <w:rFonts w:hint="eastAsia" w:ascii="宋体" w:hAnsi="宋体" w:cs="宋体"/>
          <w:kern w:val="0"/>
          <w:sz w:val="24"/>
          <w:highlight w:val="none"/>
          <w:lang w:val="en-US" w:eastAsia="zh-CN"/>
        </w:rPr>
        <w:t>代理销售</w:t>
      </w:r>
      <w:r>
        <w:rPr>
          <w:rFonts w:hint="eastAsia" w:ascii="宋体" w:hAnsi="宋体" w:cs="宋体"/>
          <w:kern w:val="0"/>
          <w:sz w:val="24"/>
          <w:highlight w:val="none"/>
          <w:lang w:eastAsia="zh-CN"/>
        </w:rPr>
        <w:t>）销售协议书</w:t>
      </w:r>
      <w:r>
        <w:rPr>
          <w:rFonts w:hint="eastAsia" w:ascii="宋体" w:hAnsi="宋体" w:cs="宋体"/>
          <w:kern w:val="0"/>
          <w:sz w:val="24"/>
          <w:highlight w:val="none"/>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53"/>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lang w:eastAsia="zh-CN"/>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53"/>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如在银行营业场所购买杭银理财理财计划，销售机构需对每笔理财计划销售过程同步录音录像。</w:t>
      </w:r>
      <w:r>
        <w:rPr>
          <w:rFonts w:hint="eastAsia" w:ascii="宋体" w:hAnsi="宋体" w:cs="宋体"/>
          <w:kern w:val="0"/>
          <w:sz w:val="24"/>
          <w:highlight w:val="none"/>
          <w:lang w:val="en-US" w:eastAsia="zh-CN"/>
        </w:rPr>
        <w:t>在没有销售人员推介的情况下，投资者通过自助终端等电子设备进行自主购买的情况除外。</w:t>
      </w:r>
    </w:p>
    <w:p>
      <w:pPr>
        <w:numPr>
          <w:ilvl w:val="0"/>
          <w:numId w:val="53"/>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投资者确定交易金额，完成交易申请，并在确认份额后进行查询。</w:t>
      </w:r>
    </w:p>
    <w:p>
      <w:pPr>
        <w:numPr>
          <w:ilvl w:val="0"/>
          <w:numId w:val="54"/>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杭银理财产品风险评级</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机构投资者及进取型的个人投资者</w:t>
            </w:r>
          </w:p>
        </w:tc>
      </w:tr>
    </w:tbl>
    <w:p>
      <w:pPr>
        <w:pStyle w:val="17"/>
        <w:adjustRightInd/>
        <w:spacing w:line="360" w:lineRule="auto"/>
        <w:ind w:firstLine="480" w:firstLineChars="200"/>
        <w:rPr>
          <w:rFonts w:hint="default" w:ascii="宋体" w:hAnsi="宋体" w:eastAsia="宋体" w:cs="宋体"/>
          <w:b/>
          <w:kern w:val="0"/>
          <w:sz w:val="24"/>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numPr>
          <w:ilvl w:val="0"/>
          <w:numId w:val="55"/>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投资者风险承受能力评估</w:t>
      </w:r>
    </w:p>
    <w:p>
      <w:pPr>
        <w:numPr>
          <w:ilvl w:val="0"/>
          <w:numId w:val="56"/>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56"/>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个人投资者风险承受能力评估结果有效期为一年，如风险承受能力评估时效已超过一年，或影响风险承受能力的因素发生变化，请及时完成风险承受能力的重新评估。</w:t>
      </w:r>
    </w:p>
    <w:p>
      <w:pPr>
        <w:numPr>
          <w:ilvl w:val="0"/>
          <w:numId w:val="56"/>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个人投资者风险承受能力评估流程（详询销售机构工作人员）</w:t>
      </w:r>
    </w:p>
    <w:p>
      <w:pPr>
        <w:numPr>
          <w:ilvl w:val="0"/>
          <w:numId w:val="57"/>
        </w:numPr>
        <w:spacing w:line="360" w:lineRule="auto"/>
        <w:rPr>
          <w:rFonts w:hint="eastAsia" w:ascii="宋体" w:hAnsi="宋体" w:cs="宋体"/>
          <w:kern w:val="0"/>
          <w:sz w:val="24"/>
          <w:highlight w:val="none"/>
        </w:rPr>
      </w:pPr>
      <w:r>
        <w:rPr>
          <w:rFonts w:hint="eastAsia" w:ascii="宋体" w:hAnsi="宋体" w:cs="宋体"/>
          <w:kern w:val="0"/>
          <w:sz w:val="24"/>
          <w:highlight w:val="none"/>
        </w:rPr>
        <w:t>个人投资者在销售机构进行风险承受能力评估；</w:t>
      </w:r>
    </w:p>
    <w:p>
      <w:pPr>
        <w:numPr>
          <w:ilvl w:val="0"/>
          <w:numId w:val="57"/>
        </w:numPr>
        <w:spacing w:line="360" w:lineRule="auto"/>
        <w:rPr>
          <w:rFonts w:hint="eastAsia" w:ascii="宋体" w:hAnsi="宋体" w:cs="宋体"/>
          <w:kern w:val="0"/>
          <w:sz w:val="24"/>
          <w:highlight w:val="none"/>
        </w:rPr>
      </w:pPr>
      <w:r>
        <w:rPr>
          <w:rFonts w:hint="eastAsia" w:ascii="宋体" w:hAnsi="宋体" w:cs="宋体"/>
          <w:kern w:val="0"/>
          <w:sz w:val="24"/>
          <w:highlight w:val="none"/>
        </w:rPr>
        <w:t>填写销售机构个人投资者风险承受能力测试问卷；</w:t>
      </w:r>
    </w:p>
    <w:p>
      <w:pPr>
        <w:numPr>
          <w:ilvl w:val="0"/>
          <w:numId w:val="57"/>
        </w:numPr>
        <w:spacing w:line="360" w:lineRule="auto"/>
        <w:rPr>
          <w:rFonts w:hint="eastAsia" w:ascii="宋体" w:hAnsi="宋体" w:cs="宋体"/>
          <w:kern w:val="0"/>
          <w:sz w:val="24"/>
          <w:highlight w:val="none"/>
        </w:rPr>
      </w:pPr>
      <w:r>
        <w:rPr>
          <w:rFonts w:hint="eastAsia" w:ascii="宋体" w:hAnsi="宋体" w:cs="宋体"/>
          <w:kern w:val="0"/>
          <w:sz w:val="24"/>
          <w:highlight w:val="none"/>
        </w:rPr>
        <w:t>生成相应的个人投资者风险承受能力评估结果；</w:t>
      </w:r>
    </w:p>
    <w:p>
      <w:pPr>
        <w:numPr>
          <w:ilvl w:val="0"/>
          <w:numId w:val="57"/>
        </w:numPr>
        <w:spacing w:line="360" w:lineRule="auto"/>
        <w:rPr>
          <w:rFonts w:hint="eastAsia" w:ascii="宋体" w:hAnsi="宋体" w:cs="宋体"/>
          <w:kern w:val="0"/>
          <w:sz w:val="24"/>
          <w:highlight w:val="none"/>
        </w:rPr>
      </w:pPr>
      <w:r>
        <w:rPr>
          <w:rFonts w:hint="eastAsia" w:ascii="宋体" w:hAnsi="宋体" w:cs="宋体"/>
          <w:kern w:val="0"/>
          <w:sz w:val="24"/>
          <w:highlight w:val="none"/>
        </w:rPr>
        <w:t>投资者对评估结果进行确认。</w:t>
      </w:r>
    </w:p>
    <w:p>
      <w:pPr>
        <w:numPr>
          <w:ilvl w:val="0"/>
          <w:numId w:val="58"/>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风险承受能力评估结果将作为评价个人投资者是否适合购买理财计划的重要因素，风险承受能力评级越高适合购买的理财计划风险评级越高，适合购买的理财计划类型越丰富。</w:t>
      </w:r>
    </w:p>
    <w:p>
      <w:pPr>
        <w:numPr>
          <w:ilvl w:val="0"/>
          <w:numId w:val="58"/>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58"/>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机构投资者购买理财计划前无须进行风险评估能力测试。机构投资者不适用个人投资者的风险承受能力评估，请机构投资者根据自身财务状况、投资风格、资金需求等要素，并在阅读本权益须知、</w:t>
      </w:r>
      <w:r>
        <w:rPr>
          <w:rFonts w:hint="eastAsia" w:ascii="宋体" w:hAnsi="宋体" w:cs="宋体"/>
          <w:kern w:val="0"/>
          <w:sz w:val="24"/>
          <w:highlight w:val="none"/>
          <w:lang w:eastAsia="zh-CN"/>
        </w:rPr>
        <w:t>理财计划风险揭示书、理财计划</w:t>
      </w:r>
      <w:r>
        <w:rPr>
          <w:rFonts w:hint="eastAsia" w:ascii="宋体" w:hAnsi="宋体" w:cs="宋体"/>
          <w:kern w:val="0"/>
          <w:sz w:val="24"/>
          <w:highlight w:val="none"/>
        </w:rPr>
        <w:t>产品说明书</w:t>
      </w:r>
      <w:r>
        <w:rPr>
          <w:rFonts w:hint="eastAsia" w:ascii="宋体" w:hAnsi="宋体" w:cs="宋体"/>
          <w:kern w:val="0"/>
          <w:sz w:val="24"/>
          <w:highlight w:val="none"/>
          <w:lang w:eastAsia="zh-CN"/>
        </w:rPr>
        <w:t>、理财计划投资协议书和理财计划销售协议书</w:t>
      </w:r>
      <w:r>
        <w:rPr>
          <w:rFonts w:hint="eastAsia" w:ascii="宋体" w:hAnsi="宋体" w:cs="宋体"/>
          <w:kern w:val="0"/>
          <w:sz w:val="24"/>
          <w:highlight w:val="none"/>
        </w:rPr>
        <w:t>的基础上，充分认识投资本理财计划需要承担的风险。</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四、理财计划信息披露</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五、投资者信息管理</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六、投诉与建议</w:t>
      </w:r>
    </w:p>
    <w:p>
      <w:pPr>
        <w:numPr>
          <w:ilvl w:val="0"/>
          <w:numId w:val="5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投资者如认为理财</w:t>
      </w:r>
      <w:r>
        <w:rPr>
          <w:rFonts w:hint="eastAsia" w:ascii="宋体" w:hAnsi="宋体" w:cs="宋体"/>
          <w:kern w:val="0"/>
          <w:sz w:val="24"/>
          <w:highlight w:val="none"/>
          <w:lang w:val="en-US" w:eastAsia="zh-CN"/>
        </w:rPr>
        <w:t>计划</w:t>
      </w:r>
      <w:r>
        <w:rPr>
          <w:rFonts w:hint="eastAsia" w:ascii="宋体" w:hAnsi="宋体" w:cs="宋体"/>
          <w:kern w:val="0"/>
          <w:sz w:val="24"/>
          <w:highlight w:val="none"/>
        </w:rPr>
        <w:t>推介销售材料及过程中有不实或未尽风险告知职责或其它疑义事项，或对理财计划、销售机构及理财计划管理人服务有任何意见或建议，可通过拨打销售机构</w:t>
      </w:r>
      <w:r>
        <w:rPr>
          <w:rFonts w:hint="eastAsia" w:ascii="宋体" w:hAnsi="宋体" w:cs="宋体"/>
          <w:kern w:val="0"/>
          <w:sz w:val="24"/>
          <w:highlight w:val="none"/>
          <w:lang w:val="en-US" w:eastAsia="zh-CN"/>
        </w:rPr>
        <w:t>或管理人</w:t>
      </w:r>
      <w:r>
        <w:rPr>
          <w:rFonts w:hint="eastAsia" w:ascii="宋体" w:hAnsi="宋体" w:cs="宋体"/>
          <w:kern w:val="0"/>
          <w:sz w:val="24"/>
          <w:highlight w:val="none"/>
        </w:rPr>
        <w:t>热线或客服电话进行反馈</w:t>
      </w:r>
      <w:r>
        <w:rPr>
          <w:rFonts w:hint="eastAsia" w:ascii="宋体" w:hAnsi="宋体" w:cs="宋体"/>
          <w:kern w:val="0"/>
          <w:sz w:val="24"/>
          <w:highlight w:val="none"/>
          <w:lang w:eastAsia="zh-CN"/>
        </w:rPr>
        <w:t>，</w:t>
      </w:r>
      <w:r>
        <w:rPr>
          <w:rFonts w:hint="eastAsia" w:ascii="宋体" w:hAnsi="宋体" w:cs="宋体"/>
          <w:kern w:val="0"/>
          <w:sz w:val="24"/>
          <w:highlight w:val="none"/>
        </w:rPr>
        <w:t>将由专人接听、记录您的意见建议，并由双方协商共同解决。</w:t>
      </w:r>
    </w:p>
    <w:p>
      <w:pPr>
        <w:numPr>
          <w:ilvl w:val="0"/>
          <w:numId w:val="5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联络方式</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杭银理财联络方式：</w:t>
      </w:r>
    </w:p>
    <w:p>
      <w:pPr>
        <w:numPr>
          <w:ilvl w:val="0"/>
          <w:numId w:val="60"/>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杭银理财联络方式：</w:t>
      </w:r>
    </w:p>
    <w:p>
      <w:pPr>
        <w:numPr>
          <w:ilvl w:val="0"/>
          <w:numId w:val="0"/>
        </w:num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bCs/>
          <w:color w:val="auto"/>
          <w:kern w:val="2"/>
          <w:highlight w:val="none"/>
          <w:u w:val="none"/>
          <w:lang w:val="en-US" w:eastAsia="zh-CN"/>
        </w:rPr>
        <w:t>https://</w:t>
      </w:r>
      <w:r>
        <w:rPr>
          <w:rStyle w:val="11"/>
          <w:rFonts w:hint="eastAsia" w:ascii="宋体" w:hAnsi="宋体" w:cs="宋体"/>
          <w:color w:val="auto"/>
          <w:kern w:val="0"/>
          <w:sz w:val="24"/>
          <w:szCs w:val="22"/>
          <w:highlight w:val="none"/>
          <w:u w:val="none"/>
          <w:lang w:val="en-US" w:eastAsia="zh-CN"/>
        </w:rPr>
        <w:t>www.hzbankwealth.com.cn</w:t>
      </w:r>
    </w:p>
    <w:p>
      <w:pPr>
        <w:numPr>
          <w:ilvl w:val="0"/>
          <w:numId w:val="0"/>
        </w:numPr>
        <w:spacing w:line="360" w:lineRule="auto"/>
        <w:ind w:firstLine="480" w:firstLineChars="200"/>
        <w:rPr>
          <w:rFonts w:hint="default" w:ascii="宋体" w:hAnsi="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客户服务热线：400-8950-999</w:t>
      </w:r>
    </w:p>
    <w:p>
      <w:pPr>
        <w:numPr>
          <w:ilvl w:val="0"/>
          <w:numId w:val="0"/>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u w:val="none"/>
          <w:lang w:val="en-US" w:eastAsia="zh-CN"/>
        </w:rPr>
        <w:t>公司地址：</w:t>
      </w:r>
      <w:r>
        <w:rPr>
          <w:rFonts w:hint="eastAsia" w:ascii="宋体" w:hAnsi="宋体" w:cs="宋体"/>
          <w:kern w:val="0"/>
          <w:sz w:val="24"/>
          <w:highlight w:val="none"/>
        </w:rPr>
        <w:t>杭州市拱墅区庆春路38号金龙财富中心6楼</w:t>
      </w:r>
    </w:p>
    <w:p>
      <w:pPr>
        <w:numPr>
          <w:ilvl w:val="0"/>
          <w:numId w:val="0"/>
        </w:numPr>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cs="宋体"/>
          <w:kern w:val="0"/>
          <w:sz w:val="24"/>
          <w:highlight w:val="none"/>
          <w:lang w:eastAsia="zh-CN"/>
        </w:rPr>
        <w:t>若</w:t>
      </w:r>
      <w:r>
        <w:rPr>
          <w:rFonts w:hint="eastAsia" w:ascii="宋体" w:hAnsi="宋体" w:cs="宋体"/>
          <w:kern w:val="0"/>
          <w:sz w:val="24"/>
          <w:highlight w:val="none"/>
        </w:rPr>
        <w:t>上述联系方式变更，杭银理财将提前通过</w:t>
      </w:r>
      <w:r>
        <w:rPr>
          <w:rFonts w:hint="eastAsia" w:ascii="宋体" w:hAnsi="宋体" w:cs="宋体"/>
          <w:kern w:val="0"/>
          <w:sz w:val="24"/>
          <w:highlight w:val="none"/>
          <w:lang w:eastAsia="zh-CN"/>
        </w:rPr>
        <w:t>官方网站</w:t>
      </w:r>
      <w:r>
        <w:rPr>
          <w:rFonts w:hint="eastAsia" w:ascii="宋体" w:hAnsi="宋体" w:cs="宋体"/>
          <w:kern w:val="0"/>
          <w:sz w:val="24"/>
          <w:highlight w:val="none"/>
        </w:rPr>
        <w:t>及时告知投资者。</w:t>
      </w:r>
    </w:p>
    <w:p>
      <w:pPr>
        <w:numPr>
          <w:ilvl w:val="0"/>
          <w:numId w:val="60"/>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杭州银行</w:t>
      </w:r>
      <w:r>
        <w:rPr>
          <w:rFonts w:hint="eastAsia" w:ascii="宋体" w:hAnsi="宋体" w:cs="宋体"/>
          <w:kern w:val="0"/>
          <w:sz w:val="24"/>
          <w:highlight w:val="none"/>
        </w:rPr>
        <w:t>（作为销售机构）</w:t>
      </w:r>
      <w:r>
        <w:rPr>
          <w:rFonts w:hint="eastAsia" w:ascii="宋体" w:hAnsi="宋体" w:cs="宋体"/>
          <w:kern w:val="0"/>
          <w:sz w:val="24"/>
          <w:highlight w:val="none"/>
          <w:lang w:eastAsia="zh-CN"/>
        </w:rPr>
        <w:t>联络方式：</w:t>
      </w:r>
    </w:p>
    <w:p>
      <w:p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kern w:val="0"/>
          <w:sz w:val="24"/>
          <w:highlight w:val="none"/>
          <w:lang w:val="en-US" w:eastAsia="zh-CN"/>
        </w:rPr>
        <w:t xml:space="preserve">: </w:t>
      </w:r>
      <w:r>
        <w:rPr>
          <w:rFonts w:hint="eastAsia" w:ascii="宋体" w:hAnsi="宋体" w:cs="宋体"/>
          <w:color w:val="auto"/>
          <w:kern w:val="0"/>
          <w:sz w:val="24"/>
          <w:highlight w:val="none"/>
          <w:u w:val="none"/>
          <w:lang w:val="en-US" w:eastAsia="zh-CN"/>
        </w:rPr>
        <w:fldChar w:fldCharType="begin"/>
      </w:r>
      <w:r>
        <w:rPr>
          <w:rFonts w:hint="eastAsia" w:ascii="宋体" w:hAnsi="宋体" w:cs="宋体"/>
          <w:color w:val="auto"/>
          <w:kern w:val="0"/>
          <w:sz w:val="24"/>
          <w:highlight w:val="none"/>
          <w:u w:val="none"/>
          <w:lang w:val="en-US" w:eastAsia="zh-CN"/>
        </w:rPr>
        <w:instrText xml:space="preserve"> HYPERLINK "http://www.hzbankwealth.cn" </w:instrText>
      </w:r>
      <w:r>
        <w:rPr>
          <w:rFonts w:hint="eastAsia" w:ascii="宋体" w:hAnsi="宋体" w:cs="宋体"/>
          <w:color w:val="auto"/>
          <w:kern w:val="0"/>
          <w:sz w:val="24"/>
          <w:highlight w:val="none"/>
          <w:u w:val="none"/>
          <w:lang w:val="en-US" w:eastAsia="zh-CN"/>
        </w:rPr>
        <w:fldChar w:fldCharType="separate"/>
      </w:r>
      <w:r>
        <w:rPr>
          <w:rStyle w:val="11"/>
          <w:rFonts w:hint="eastAsia" w:ascii="宋体" w:hAnsi="宋体" w:cs="宋体"/>
          <w:color w:val="auto"/>
          <w:kern w:val="0"/>
          <w:sz w:val="24"/>
          <w:highlight w:val="none"/>
          <w:u w:val="none"/>
          <w:lang w:val="en-US" w:eastAsia="zh-CN"/>
        </w:rPr>
        <w:t>www.hzbank.com.cn</w:t>
      </w:r>
      <w:r>
        <w:rPr>
          <w:rFonts w:hint="eastAsia" w:ascii="宋体" w:hAnsi="宋体" w:cs="宋体"/>
          <w:color w:val="auto"/>
          <w:kern w:val="0"/>
          <w:sz w:val="24"/>
          <w:highlight w:val="none"/>
          <w:u w:val="none"/>
          <w:lang w:val="en-US" w:eastAsia="zh-CN"/>
        </w:rPr>
        <w:fldChar w:fldCharType="end"/>
      </w:r>
    </w:p>
    <w:p>
      <w:pPr>
        <w:spacing w:line="360" w:lineRule="auto"/>
        <w:ind w:firstLine="480" w:firstLineChars="200"/>
        <w:rPr>
          <w:rFonts w:hint="default" w:ascii="宋体" w:hAnsi="宋体" w:eastAsia="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客户服务热线：95398、</w:t>
      </w:r>
      <w:r>
        <w:rPr>
          <w:rFonts w:hint="eastAsia" w:ascii="宋体" w:hAnsi="宋体" w:cs="宋体"/>
          <w:kern w:val="0"/>
          <w:sz w:val="24"/>
          <w:highlight w:val="none"/>
        </w:rPr>
        <w:t>4008888508</w:t>
      </w:r>
    </w:p>
    <w:p>
      <w:pPr>
        <w:spacing w:line="360" w:lineRule="auto"/>
        <w:ind w:firstLine="480" w:firstLineChars="200"/>
        <w:jc w:val="left"/>
        <w:rPr>
          <w:rFonts w:ascii="宋体" w:hAnsi="宋体" w:cs="宋体"/>
          <w:bCs/>
          <w:color w:val="000000"/>
          <w:sz w:val="24"/>
        </w:rPr>
      </w:pPr>
      <w:r>
        <w:rPr>
          <w:rFonts w:hint="eastAsia" w:ascii="宋体" w:hAnsi="宋体" w:cs="宋体"/>
          <w:kern w:val="0"/>
          <w:sz w:val="24"/>
          <w:highlight w:val="none"/>
          <w:lang w:eastAsia="zh-CN"/>
        </w:rPr>
        <w:t>在</w:t>
      </w:r>
      <w:r>
        <w:rPr>
          <w:rFonts w:hint="eastAsia" w:ascii="宋体" w:hAnsi="宋体" w:cs="宋体"/>
          <w:kern w:val="0"/>
          <w:sz w:val="24"/>
          <w:highlight w:val="none"/>
        </w:rPr>
        <w:t>其他销售机构购买理财计划的，请联系其他销售机构，联系方式以其披露为准。</w:t>
      </w:r>
    </w:p>
    <w:p>
      <w:pPr>
        <w:rPr>
          <w:rFonts w:ascii="宋体" w:hAnsi="宋体" w:cs="宋体"/>
          <w:bCs/>
          <w:color w:val="000000"/>
          <w:sz w:val="24"/>
          <w:highlight w:val="none"/>
        </w:rPr>
      </w:pPr>
      <w:r>
        <w:rPr>
          <w:rFonts w:ascii="宋体" w:hAnsi="宋体" w:cs="宋体"/>
          <w:bCs/>
          <w:color w:val="000000"/>
          <w:sz w:val="24"/>
          <w:highlight w:val="none"/>
        </w:rPr>
        <w:br w:type="page"/>
      </w:r>
    </w:p>
    <w:p>
      <w:pPr>
        <w:jc w:val="center"/>
        <w:outlineLvl w:val="9"/>
        <w:rPr>
          <w:rFonts w:hint="eastAsia"/>
          <w:b/>
          <w:sz w:val="44"/>
          <w:szCs w:val="44"/>
          <w:highlight w:val="none"/>
        </w:rPr>
      </w:pPr>
      <w:r>
        <w:rPr>
          <w:rFonts w:hint="eastAsia"/>
          <w:b/>
          <w:sz w:val="44"/>
          <w:szCs w:val="44"/>
          <w:highlight w:val="none"/>
        </w:rPr>
        <w:t>杭银理财理财计划投资协议书</w:t>
      </w:r>
    </w:p>
    <w:p>
      <w:pPr>
        <w:jc w:val="center"/>
        <w:rPr>
          <w:rFonts w:hint="eastAsia"/>
          <w:b/>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rPr>
          <w:rFonts w:hint="eastAsia"/>
          <w:b/>
          <w:sz w:val="32"/>
          <w:szCs w:val="32"/>
          <w:highlight w:val="none"/>
        </w:rPr>
      </w:pPr>
      <w:r>
        <w:rPr>
          <w:rFonts w:hint="eastAsia" w:ascii="宋体" w:hAnsi="宋体" w:cs="宋体"/>
          <w:b/>
          <w:bCs/>
          <w:sz w:val="24"/>
          <w:highlight w:val="none"/>
          <w:u w:val="single"/>
        </w:rPr>
        <w:t>理财非存款、产品有风险、投资须谨慎</w:t>
      </w:r>
    </w:p>
    <w:p>
      <w:pPr>
        <w:spacing w:line="360" w:lineRule="auto"/>
        <w:ind w:firstLine="482" w:firstLineChars="200"/>
        <w:rPr>
          <w:rFonts w:hint="eastAsia"/>
          <w:b/>
          <w:bCs/>
          <w:sz w:val="24"/>
          <w:highlight w:val="none"/>
        </w:rPr>
      </w:pPr>
      <w:r>
        <w:rPr>
          <w:rFonts w:hint="eastAsia"/>
          <w:b/>
          <w:bCs/>
          <w:sz w:val="24"/>
          <w:highlight w:val="none"/>
        </w:rPr>
        <w:t>特别提示：杭银理财理财计划投资协议书与</w:t>
      </w:r>
      <w:r>
        <w:rPr>
          <w:rFonts w:hint="eastAsia"/>
          <w:b/>
          <w:bCs/>
          <w:sz w:val="24"/>
          <w:highlight w:val="none"/>
          <w:lang w:eastAsia="zh-CN"/>
        </w:rPr>
        <w:t>理财计划风险揭示书、理财计划产品说明书、</w:t>
      </w:r>
      <w:r>
        <w:rPr>
          <w:rFonts w:hint="eastAsia"/>
          <w:b/>
          <w:bCs/>
          <w:sz w:val="24"/>
          <w:highlight w:val="none"/>
        </w:rPr>
        <w:t>投资者权益须知</w:t>
      </w:r>
      <w:r>
        <w:rPr>
          <w:rFonts w:hint="eastAsia"/>
          <w:b/>
          <w:bCs/>
          <w:sz w:val="24"/>
          <w:highlight w:val="none"/>
          <w:lang w:eastAsia="zh-CN"/>
        </w:rPr>
        <w:t>及理财计划销售协议书</w:t>
      </w:r>
      <w:r>
        <w:rPr>
          <w:rFonts w:hint="eastAsia"/>
          <w:b/>
          <w:bCs/>
          <w:sz w:val="24"/>
          <w:highlight w:val="none"/>
        </w:rPr>
        <w:t>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sz w:val="24"/>
          <w:highlight w:val="none"/>
        </w:rPr>
      </w:pPr>
      <w:r>
        <w:rPr>
          <w:rFonts w:hint="eastAsia"/>
          <w:sz w:val="24"/>
          <w:highlight w:val="none"/>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sz w:val="24"/>
          <w:highlight w:val="none"/>
        </w:rPr>
      </w:pPr>
    </w:p>
    <w:p>
      <w:pPr>
        <w:numPr>
          <w:ilvl w:val="0"/>
          <w:numId w:val="61"/>
        </w:numPr>
        <w:spacing w:line="360" w:lineRule="auto"/>
        <w:ind w:firstLine="482" w:firstLineChars="200"/>
        <w:outlineLvl w:val="9"/>
        <w:rPr>
          <w:rFonts w:hint="eastAsia" w:ascii="宋体" w:hAnsi="宋体"/>
          <w:b/>
          <w:bCs/>
          <w:sz w:val="24"/>
          <w:highlight w:val="none"/>
        </w:rPr>
      </w:pPr>
      <w:r>
        <w:rPr>
          <w:rFonts w:hint="eastAsia"/>
          <w:b/>
          <w:bCs/>
          <w:sz w:val="24"/>
          <w:highlight w:val="none"/>
        </w:rPr>
        <w:t>名词释义</w:t>
      </w:r>
    </w:p>
    <w:p>
      <w:pPr>
        <w:spacing w:line="360" w:lineRule="auto"/>
        <w:ind w:firstLine="480" w:firstLineChars="200"/>
        <w:rPr>
          <w:rFonts w:hint="eastAsia"/>
          <w:bCs/>
          <w:sz w:val="24"/>
          <w:highlight w:val="none"/>
        </w:rPr>
      </w:pPr>
      <w:r>
        <w:rPr>
          <w:rFonts w:hint="eastAsia"/>
          <w:bCs/>
          <w:sz w:val="24"/>
          <w:highlight w:val="none"/>
        </w:rPr>
        <w:t>详见理财计划说明书“释义”部分。</w:t>
      </w:r>
    </w:p>
    <w:p>
      <w:pPr>
        <w:spacing w:line="360" w:lineRule="auto"/>
        <w:ind w:firstLine="480" w:firstLineChars="200"/>
        <w:rPr>
          <w:rFonts w:hint="eastAsia"/>
          <w:bCs/>
          <w:sz w:val="24"/>
          <w:highlight w:val="none"/>
        </w:rPr>
      </w:pPr>
    </w:p>
    <w:p>
      <w:pPr>
        <w:numPr>
          <w:ilvl w:val="0"/>
          <w:numId w:val="61"/>
        </w:numPr>
        <w:spacing w:line="360" w:lineRule="auto"/>
        <w:ind w:firstLine="482" w:firstLineChars="200"/>
        <w:outlineLvl w:val="9"/>
        <w:rPr>
          <w:rFonts w:hint="eastAsia"/>
          <w:b/>
          <w:sz w:val="24"/>
          <w:highlight w:val="none"/>
        </w:rPr>
      </w:pPr>
      <w:r>
        <w:rPr>
          <w:rFonts w:hint="eastAsia"/>
          <w:b/>
          <w:sz w:val="24"/>
          <w:highlight w:val="none"/>
        </w:rPr>
        <w:t>投资者权利与义务</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投资者保证自身完全了解理财投资的性质，投资所涉及的风险以及自身风险承受能力，在慎重考虑后独立作出交易决定。</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投资者保证其有权利签署本协议和履行本协议所述的义务，并已为此采取一切所需的行为。</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本协议终止前，投资者不得将授权指定账户销户。若发生因投资者注销授权指定账户造成理财计划无法正常兑付的，管理人不承担任何责任。</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 xml:space="preserve">投资者进行投资时，应严格遵守反洗钱相关法规的规定，切实履行反洗钱及反恐怖融资义务。 </w:t>
      </w:r>
    </w:p>
    <w:p>
      <w:pPr>
        <w:spacing w:line="360" w:lineRule="auto"/>
        <w:ind w:left="482"/>
        <w:rPr>
          <w:b/>
          <w:sz w:val="24"/>
          <w:highlight w:val="none"/>
        </w:rPr>
      </w:pPr>
    </w:p>
    <w:p>
      <w:pPr>
        <w:numPr>
          <w:ilvl w:val="0"/>
          <w:numId w:val="61"/>
        </w:numPr>
        <w:spacing w:line="360" w:lineRule="auto"/>
        <w:ind w:firstLine="482" w:firstLineChars="200"/>
        <w:outlineLvl w:val="9"/>
        <w:rPr>
          <w:rFonts w:hint="eastAsia"/>
          <w:b/>
          <w:sz w:val="24"/>
          <w:highlight w:val="none"/>
        </w:rPr>
      </w:pPr>
      <w:r>
        <w:rPr>
          <w:rFonts w:hint="eastAsia"/>
          <w:b/>
          <w:sz w:val="24"/>
          <w:highlight w:val="none"/>
        </w:rPr>
        <w:t>管理人权利与义务</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管理人应当诚实守信、勤勉尽责地履行受人之托、代人理财职责。 </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管理人应当按照理财计划销售文件的约定收取管理费用、确定收益分配方案、向投资者分配收益。 </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管理人应当按照理财计划销售文件的约定履行风险揭示及信息披露义务。 </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管理人应当确保理财业务与其他业务相分离，理财计划之间相分离，理财业务操作与其他业务操作相分离。 </w:t>
      </w:r>
    </w:p>
    <w:p>
      <w:pPr>
        <w:widowControl/>
        <w:numPr>
          <w:ilvl w:val="0"/>
          <w:numId w:val="63"/>
        </w:numPr>
        <w:spacing w:line="360" w:lineRule="auto"/>
        <w:contextualSpacing/>
        <w:outlineLvl w:val="9"/>
        <w:rPr>
          <w:rFonts w:ascii="宋体" w:hAnsi="宋体"/>
          <w:sz w:val="24"/>
          <w:highlight w:val="none"/>
        </w:rPr>
      </w:pPr>
      <w:r>
        <w:rPr>
          <w:rFonts w:ascii="宋体" w:hAnsi="宋体"/>
          <w:sz w:val="24"/>
          <w:highlight w:val="none"/>
        </w:rPr>
        <w:t>管理人不得将理财</w:t>
      </w:r>
      <w:r>
        <w:rPr>
          <w:rFonts w:hint="eastAsia" w:ascii="宋体" w:hAnsi="宋体"/>
          <w:sz w:val="24"/>
          <w:highlight w:val="none"/>
        </w:rPr>
        <w:t>计划</w:t>
      </w:r>
      <w:r>
        <w:rPr>
          <w:rFonts w:ascii="宋体" w:hAnsi="宋体"/>
          <w:sz w:val="24"/>
          <w:highlight w:val="none"/>
        </w:rPr>
        <w:t>财产归入其自有资产</w:t>
      </w:r>
      <w:r>
        <w:rPr>
          <w:rFonts w:hint="eastAsia" w:ascii="宋体" w:hAnsi="宋体"/>
          <w:sz w:val="24"/>
          <w:highlight w:val="none"/>
        </w:rPr>
        <w:t>，</w:t>
      </w:r>
      <w:r>
        <w:rPr>
          <w:rFonts w:ascii="宋体" w:hAnsi="宋体"/>
          <w:sz w:val="24"/>
          <w:highlight w:val="none"/>
        </w:rPr>
        <w:t>因依法解散</w:t>
      </w:r>
      <w:r>
        <w:rPr>
          <w:rFonts w:hint="eastAsia" w:ascii="宋体" w:hAnsi="宋体"/>
          <w:sz w:val="24"/>
          <w:highlight w:val="none"/>
        </w:rPr>
        <w:t>、</w:t>
      </w:r>
      <w:r>
        <w:rPr>
          <w:rFonts w:ascii="宋体" w:hAnsi="宋体"/>
          <w:sz w:val="24"/>
          <w:highlight w:val="none"/>
        </w:rPr>
        <w:t>被依法撤销或者被依法宣告破产等原因进行清算的</w:t>
      </w:r>
      <w:r>
        <w:rPr>
          <w:rFonts w:hint="eastAsia" w:ascii="宋体" w:hAnsi="宋体"/>
          <w:sz w:val="24"/>
          <w:highlight w:val="none"/>
        </w:rPr>
        <w:t>，</w:t>
      </w:r>
      <w:r>
        <w:rPr>
          <w:rFonts w:ascii="宋体" w:hAnsi="宋体"/>
          <w:sz w:val="24"/>
          <w:highlight w:val="none"/>
        </w:rPr>
        <w:t>理财</w:t>
      </w:r>
      <w:r>
        <w:rPr>
          <w:rFonts w:hint="eastAsia" w:ascii="宋体" w:hAnsi="宋体"/>
          <w:sz w:val="24"/>
          <w:highlight w:val="none"/>
        </w:rPr>
        <w:t>计划</w:t>
      </w:r>
      <w:r>
        <w:rPr>
          <w:rFonts w:ascii="宋体" w:hAnsi="宋体"/>
          <w:sz w:val="24"/>
          <w:highlight w:val="none"/>
        </w:rPr>
        <w:t>财产不属于其清算财产</w:t>
      </w:r>
      <w:r>
        <w:rPr>
          <w:rFonts w:hint="eastAsia" w:ascii="宋体" w:hAnsi="宋体"/>
          <w:sz w:val="24"/>
          <w:highlight w:val="none"/>
        </w:rPr>
        <w:t>。</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管理人应当选择具有证券投资基金托管业务资格的金融机构、银行业理财登记托管机构或者国务院银行业监督管理机构认可的其他机构托管理财计划。 </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管理人</w:t>
      </w:r>
      <w:r>
        <w:rPr>
          <w:rFonts w:hint="eastAsia" w:ascii="宋体" w:hAnsi="宋体" w:cs="宋体"/>
          <w:bCs/>
          <w:color w:val="000000"/>
          <w:sz w:val="24"/>
          <w:highlight w:val="none"/>
        </w:rPr>
        <w:t>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r>
        <w:rPr>
          <w:rFonts w:hint="eastAsia" w:ascii="宋体" w:hAnsi="宋体" w:cs="宋体"/>
          <w:bCs/>
          <w:color w:val="000000"/>
          <w:sz w:val="24"/>
          <w:highlight w:val="none"/>
          <w:lang w:eastAsia="zh-CN"/>
        </w:rPr>
        <w:t>，</w:t>
      </w:r>
      <w:r>
        <w:rPr>
          <w:rFonts w:hint="eastAsia" w:ascii="宋体" w:hAnsi="宋体" w:cs="宋体"/>
          <w:b w:val="0"/>
          <w:bCs/>
          <w:color w:val="000000"/>
          <w:sz w:val="24"/>
          <w:highlight w:val="none"/>
          <w:lang w:val="en-US" w:eastAsia="zh-CN"/>
        </w:rPr>
        <w:t>授权使用时限与履行相关法律法规和监管要求的必要时限一致</w:t>
      </w:r>
      <w:r>
        <w:rPr>
          <w:rFonts w:hint="eastAsia" w:ascii="宋体" w:hAnsi="宋体" w:cs="宋体"/>
          <w:b w:val="0"/>
          <w:bCs/>
          <w:color w:val="000000"/>
          <w:sz w:val="24"/>
          <w:highlight w:val="none"/>
        </w:rPr>
        <w:t>。</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sz w:val="24"/>
          <w:highlight w:val="none"/>
        </w:rPr>
      </w:pPr>
    </w:p>
    <w:p>
      <w:pPr>
        <w:numPr>
          <w:ilvl w:val="0"/>
          <w:numId w:val="61"/>
        </w:numPr>
        <w:spacing w:line="360" w:lineRule="auto"/>
        <w:ind w:firstLine="482" w:firstLineChars="200"/>
        <w:outlineLvl w:val="9"/>
        <w:rPr>
          <w:rFonts w:hint="eastAsia"/>
          <w:b/>
          <w:sz w:val="24"/>
          <w:highlight w:val="none"/>
        </w:rPr>
      </w:pPr>
      <w:r>
        <w:rPr>
          <w:rFonts w:hint="eastAsia"/>
          <w:b/>
          <w:sz w:val="24"/>
          <w:highlight w:val="none"/>
        </w:rPr>
        <w:t>理财计划认（申）购、赎回及终止</w:t>
      </w:r>
    </w:p>
    <w:p>
      <w:pPr>
        <w:widowControl/>
        <w:numPr>
          <w:ilvl w:val="0"/>
          <w:numId w:val="64"/>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理财计划认/申购办理流程：参照《投资者权益须知》约定。 </w:t>
      </w:r>
    </w:p>
    <w:p>
      <w:pPr>
        <w:widowControl/>
        <w:numPr>
          <w:ilvl w:val="0"/>
          <w:numId w:val="64"/>
        </w:numPr>
        <w:spacing w:line="360" w:lineRule="auto"/>
        <w:contextualSpacing/>
        <w:outlineLvl w:val="9"/>
        <w:rPr>
          <w:rFonts w:ascii="宋体" w:hAnsi="宋体"/>
          <w:sz w:val="24"/>
          <w:highlight w:val="none"/>
        </w:rPr>
      </w:pPr>
      <w:r>
        <w:rPr>
          <w:rFonts w:hint="eastAsia" w:ascii="宋体" w:hAnsi="宋体"/>
          <w:sz w:val="24"/>
          <w:highlight w:val="none"/>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64"/>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64"/>
        </w:numPr>
        <w:spacing w:line="360" w:lineRule="auto"/>
        <w:contextualSpacing/>
        <w:outlineLvl w:val="9"/>
        <w:rPr>
          <w:rFonts w:hint="eastAsia" w:ascii="宋体" w:hAnsi="宋体"/>
          <w:sz w:val="24"/>
          <w:highlight w:val="none"/>
        </w:rPr>
      </w:pPr>
      <w:r>
        <w:rPr>
          <w:rFonts w:hint="eastAsia" w:ascii="宋体" w:hAnsi="宋体"/>
          <w:sz w:val="24"/>
          <w:highlight w:val="none"/>
        </w:rPr>
        <w:t xml:space="preserve">理财计划投资品种、投资起点金额、收益支付方式：参照对应期次的《理财计划产品说明书》中的条款约定。 </w:t>
      </w:r>
    </w:p>
    <w:p>
      <w:pPr>
        <w:widowControl/>
        <w:numPr>
          <w:ilvl w:val="0"/>
          <w:numId w:val="64"/>
        </w:numPr>
        <w:spacing w:line="360" w:lineRule="auto"/>
        <w:contextualSpacing/>
        <w:outlineLvl w:val="9"/>
        <w:rPr>
          <w:rFonts w:ascii="宋体" w:hAnsi="宋体"/>
          <w:sz w:val="24"/>
          <w:highlight w:val="none"/>
        </w:rPr>
      </w:pPr>
      <w:r>
        <w:rPr>
          <w:rFonts w:hint="eastAsia" w:ascii="宋体" w:hAnsi="宋体"/>
          <w:sz w:val="24"/>
          <w:highlight w:val="none"/>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64"/>
        </w:numPr>
        <w:spacing w:line="360" w:lineRule="auto"/>
        <w:contextualSpacing/>
        <w:outlineLvl w:val="9"/>
        <w:rPr>
          <w:rFonts w:ascii="宋体" w:hAnsi="宋体"/>
          <w:sz w:val="24"/>
          <w:highlight w:val="none"/>
        </w:rPr>
      </w:pPr>
      <w:r>
        <w:rPr>
          <w:rFonts w:hint="eastAsia" w:ascii="宋体" w:hAnsi="宋体"/>
          <w:sz w:val="24"/>
          <w:highlight w:val="none"/>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sz w:val="24"/>
          <w:highlight w:val="none"/>
        </w:rPr>
      </w:pPr>
    </w:p>
    <w:p>
      <w:pPr>
        <w:numPr>
          <w:ilvl w:val="0"/>
          <w:numId w:val="61"/>
        </w:numPr>
        <w:spacing w:line="360" w:lineRule="auto"/>
        <w:ind w:firstLine="482" w:firstLineChars="200"/>
        <w:outlineLvl w:val="9"/>
        <w:rPr>
          <w:rFonts w:hint="eastAsia"/>
          <w:b/>
          <w:sz w:val="24"/>
          <w:highlight w:val="none"/>
        </w:rPr>
      </w:pPr>
      <w:r>
        <w:rPr>
          <w:rFonts w:hint="eastAsia"/>
          <w:b/>
          <w:sz w:val="24"/>
          <w:highlight w:val="none"/>
        </w:rPr>
        <w:t>税收处理</w:t>
      </w:r>
    </w:p>
    <w:p>
      <w:pPr>
        <w:widowControl/>
        <w:spacing w:line="360" w:lineRule="auto"/>
        <w:ind w:firstLine="480" w:firstLineChars="200"/>
        <w:contextualSpacing/>
        <w:rPr>
          <w:rFonts w:hint="eastAsia" w:ascii="宋体" w:hAnsi="宋体"/>
          <w:sz w:val="24"/>
          <w:highlight w:val="none"/>
        </w:rPr>
      </w:pPr>
      <w:r>
        <w:rPr>
          <w:rFonts w:hint="eastAsia" w:ascii="宋体" w:hAnsi="宋体"/>
          <w:sz w:val="24"/>
          <w:highlight w:val="none"/>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sz w:val="24"/>
          <w:highlight w:val="none"/>
        </w:rPr>
      </w:pPr>
    </w:p>
    <w:p>
      <w:pPr>
        <w:numPr>
          <w:ilvl w:val="0"/>
          <w:numId w:val="61"/>
        </w:numPr>
        <w:spacing w:line="360" w:lineRule="auto"/>
        <w:ind w:firstLine="482" w:firstLineChars="200"/>
        <w:outlineLvl w:val="9"/>
        <w:rPr>
          <w:rFonts w:hint="eastAsia"/>
          <w:b/>
          <w:sz w:val="24"/>
          <w:highlight w:val="none"/>
        </w:rPr>
      </w:pPr>
      <w:r>
        <w:rPr>
          <w:rFonts w:hint="eastAsia"/>
          <w:b/>
          <w:sz w:val="24"/>
          <w:highlight w:val="none"/>
        </w:rPr>
        <w:t>违约责任及免责条款</w:t>
      </w:r>
    </w:p>
    <w:p>
      <w:pPr>
        <w:widowControl/>
        <w:numPr>
          <w:ilvl w:val="0"/>
          <w:numId w:val="65"/>
        </w:numPr>
        <w:spacing w:line="360" w:lineRule="auto"/>
        <w:contextualSpacing/>
        <w:outlineLvl w:val="9"/>
        <w:rPr>
          <w:rFonts w:ascii="宋体" w:hAnsi="宋体"/>
          <w:sz w:val="24"/>
          <w:highlight w:val="none"/>
        </w:rPr>
      </w:pPr>
      <w:r>
        <w:rPr>
          <w:rFonts w:hint="eastAsia" w:ascii="宋体" w:hAnsi="宋体"/>
          <w:sz w:val="24"/>
          <w:highlight w:val="none"/>
        </w:rPr>
        <w:t>若因投资人原因导致司法或行政机构采取强制措施对其理财本金、收益进行部分或全部被扣划，均视投资者本人就全部理财本金违约进行了提前</w:t>
      </w:r>
      <w:r>
        <w:rPr>
          <w:rFonts w:hint="eastAsia" w:ascii="宋体" w:hAnsi="宋体"/>
          <w:sz w:val="24"/>
          <w:highlight w:val="none"/>
          <w:lang w:eastAsia="zh-CN"/>
        </w:rPr>
        <w:t>赎回</w:t>
      </w:r>
      <w:r>
        <w:rPr>
          <w:rFonts w:hint="eastAsia" w:ascii="宋体" w:hAnsi="宋体"/>
          <w:sz w:val="24"/>
          <w:highlight w:val="none"/>
        </w:rPr>
        <w:t>，本合同自动终止。因提前终止而产生的损失及相关费用由投资者承担。本合同前述情况终止的，理财本金不计付</w:t>
      </w:r>
      <w:r>
        <w:rPr>
          <w:rFonts w:hint="eastAsia" w:ascii="宋体" w:hAnsi="宋体"/>
          <w:sz w:val="24"/>
          <w:highlight w:val="none"/>
          <w:lang w:eastAsia="zh-CN"/>
        </w:rPr>
        <w:t>赎回</w:t>
      </w:r>
      <w:r>
        <w:rPr>
          <w:rFonts w:hint="eastAsia" w:ascii="宋体" w:hAnsi="宋体"/>
          <w:sz w:val="24"/>
          <w:highlight w:val="none"/>
        </w:rPr>
        <w:t>日前的理财收益，也不计付存款利息。</w:t>
      </w:r>
    </w:p>
    <w:p>
      <w:pPr>
        <w:widowControl/>
        <w:numPr>
          <w:ilvl w:val="0"/>
          <w:numId w:val="65"/>
        </w:numPr>
        <w:spacing w:line="360" w:lineRule="auto"/>
        <w:contextualSpacing/>
        <w:outlineLvl w:val="9"/>
        <w:rPr>
          <w:rFonts w:ascii="宋体" w:hAnsi="宋体"/>
          <w:sz w:val="24"/>
          <w:highlight w:val="none"/>
        </w:rPr>
      </w:pPr>
      <w:r>
        <w:rPr>
          <w:rFonts w:hint="eastAsia" w:ascii="宋体" w:hAnsi="宋体"/>
          <w:sz w:val="24"/>
          <w:highlight w:val="none"/>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65"/>
        </w:numPr>
        <w:spacing w:line="360" w:lineRule="auto"/>
        <w:contextualSpacing/>
        <w:outlineLvl w:val="9"/>
        <w:rPr>
          <w:rFonts w:ascii="宋体" w:hAnsi="宋体"/>
          <w:sz w:val="24"/>
          <w:highlight w:val="none"/>
        </w:rPr>
      </w:pPr>
      <w:r>
        <w:rPr>
          <w:rFonts w:hint="eastAsia" w:ascii="宋体" w:hAnsi="宋体"/>
          <w:sz w:val="24"/>
          <w:highlight w:val="none"/>
        </w:rPr>
        <w:t>若由于管理人过错导致理财计划资产发生损失，管理人应按其过错承担赔偿责任，管理人赔偿的款项计入本理财计划的资产和收益，由所有投资者按理财本金比例分配。</w:t>
      </w:r>
    </w:p>
    <w:p>
      <w:pPr>
        <w:widowControl/>
        <w:numPr>
          <w:ilvl w:val="0"/>
          <w:numId w:val="65"/>
        </w:numPr>
        <w:spacing w:line="360" w:lineRule="auto"/>
        <w:contextualSpacing/>
        <w:outlineLvl w:val="9"/>
        <w:rPr>
          <w:rFonts w:hint="eastAsia" w:ascii="宋体" w:hAnsi="宋体"/>
          <w:sz w:val="24"/>
          <w:highlight w:val="none"/>
        </w:rPr>
      </w:pPr>
      <w:r>
        <w:rPr>
          <w:rFonts w:hint="eastAsia" w:ascii="宋体" w:hAnsi="宋体"/>
          <w:sz w:val="24"/>
          <w:highlight w:val="none"/>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65"/>
        </w:numPr>
        <w:spacing w:line="360" w:lineRule="auto"/>
        <w:contextualSpacing/>
        <w:outlineLvl w:val="9"/>
        <w:rPr>
          <w:rFonts w:hint="eastAsia" w:ascii="宋体" w:hAnsi="宋体"/>
          <w:sz w:val="24"/>
          <w:highlight w:val="none"/>
        </w:rPr>
      </w:pPr>
      <w:r>
        <w:rPr>
          <w:rFonts w:hint="eastAsia" w:ascii="宋体" w:hAnsi="宋体"/>
          <w:sz w:val="24"/>
          <w:highlight w:val="none"/>
        </w:rPr>
        <w:t>因国家有关法律、法规、规章、政策的修改或新的法律、法规、规章、政策颁布以及紧急措施的出台导致的风险及损失，管理人不承担责任。</w:t>
      </w:r>
    </w:p>
    <w:p>
      <w:pPr>
        <w:widowControl/>
        <w:numPr>
          <w:ilvl w:val="0"/>
          <w:numId w:val="65"/>
        </w:numPr>
        <w:spacing w:line="360" w:lineRule="auto"/>
        <w:contextualSpacing/>
        <w:outlineLvl w:val="9"/>
        <w:rPr>
          <w:rFonts w:hint="eastAsia" w:ascii="宋体" w:hAnsi="宋体"/>
          <w:sz w:val="24"/>
          <w:highlight w:val="none"/>
        </w:rPr>
      </w:pPr>
      <w:r>
        <w:rPr>
          <w:rFonts w:hint="eastAsia" w:ascii="宋体" w:hAnsi="宋体"/>
          <w:sz w:val="24"/>
          <w:highlight w:val="none"/>
        </w:rPr>
        <w:t>管理人若严格按照产品说明书相关规定进行投资运作，给投资者造成损失的，应免除管理人责任。</w:t>
      </w:r>
    </w:p>
    <w:p>
      <w:pPr>
        <w:widowControl/>
        <w:spacing w:line="360" w:lineRule="auto"/>
        <w:contextualSpacing/>
        <w:rPr>
          <w:rFonts w:ascii="宋体" w:hAnsi="宋体"/>
          <w:sz w:val="24"/>
          <w:highlight w:val="none"/>
        </w:rPr>
      </w:pPr>
    </w:p>
    <w:p>
      <w:pPr>
        <w:numPr>
          <w:ilvl w:val="0"/>
          <w:numId w:val="61"/>
        </w:numPr>
        <w:spacing w:line="360" w:lineRule="auto"/>
        <w:ind w:firstLine="482" w:firstLineChars="200"/>
        <w:outlineLvl w:val="9"/>
        <w:rPr>
          <w:b/>
          <w:sz w:val="24"/>
          <w:highlight w:val="none"/>
        </w:rPr>
      </w:pPr>
      <w:r>
        <w:rPr>
          <w:rFonts w:hint="eastAsia"/>
          <w:b/>
          <w:sz w:val="24"/>
          <w:highlight w:val="none"/>
        </w:rPr>
        <w:t>适用法律与争议解决</w:t>
      </w:r>
    </w:p>
    <w:p>
      <w:pPr>
        <w:widowControl/>
        <w:spacing w:line="360" w:lineRule="auto"/>
        <w:ind w:firstLine="480" w:firstLineChars="200"/>
        <w:contextualSpacing/>
        <w:rPr>
          <w:rFonts w:ascii="宋体" w:hAnsi="宋体"/>
          <w:sz w:val="24"/>
          <w:highlight w:val="none"/>
        </w:rPr>
      </w:pPr>
      <w:r>
        <w:rPr>
          <w:rFonts w:hint="eastAsia" w:ascii="宋体" w:hAnsi="宋体"/>
          <w:sz w:val="24"/>
          <w:highlight w:val="none"/>
        </w:rPr>
        <w:t>本合同适用</w:t>
      </w:r>
      <w:r>
        <w:rPr>
          <w:rFonts w:hint="eastAsia" w:ascii="宋体" w:hAnsi="宋体" w:cs="宋体"/>
          <w:bCs/>
          <w:color w:val="000000"/>
          <w:sz w:val="24"/>
          <w:highlight w:val="none"/>
        </w:rPr>
        <w:t>中华人民共和国（仅为明确本合同适用法律规则，不含香港特别行政区、澳门特别行政区及中国台湾地区）</w:t>
      </w:r>
      <w:r>
        <w:rPr>
          <w:rFonts w:hint="eastAsia" w:ascii="宋体" w:hAnsi="宋体"/>
          <w:sz w:val="24"/>
          <w:highlight w:val="none"/>
        </w:rPr>
        <w:t>的法律和行政法规。本合同项下的及与之有关的一切争议，投资者与管理人双方应首先协商解决，协商不成的，应提交</w:t>
      </w:r>
      <w:r>
        <w:rPr>
          <w:rFonts w:hint="eastAsia" w:ascii="宋体" w:hAnsi="宋体"/>
          <w:sz w:val="24"/>
          <w:highlight w:val="none"/>
          <w:lang w:val="en-US" w:eastAsia="zh-CN"/>
        </w:rPr>
        <w:t>被告人</w:t>
      </w:r>
      <w:r>
        <w:rPr>
          <w:rFonts w:hint="eastAsia" w:ascii="宋体" w:hAnsi="宋体"/>
          <w:sz w:val="24"/>
          <w:highlight w:val="none"/>
        </w:rPr>
        <w:t>所在地人民法院司法裁决。诉讼期间，未涉及争议的条款仍需继续履行。</w:t>
      </w:r>
    </w:p>
    <w:p>
      <w:pPr>
        <w:spacing w:line="360" w:lineRule="auto"/>
        <w:ind w:left="482"/>
        <w:rPr>
          <w:b/>
          <w:sz w:val="24"/>
          <w:highlight w:val="none"/>
        </w:rPr>
      </w:pPr>
    </w:p>
    <w:p>
      <w:pPr>
        <w:numPr>
          <w:ilvl w:val="0"/>
          <w:numId w:val="61"/>
        </w:numPr>
        <w:spacing w:line="360" w:lineRule="auto"/>
        <w:ind w:firstLine="482" w:firstLineChars="200"/>
        <w:outlineLvl w:val="9"/>
        <w:rPr>
          <w:rFonts w:hint="eastAsia"/>
          <w:b/>
          <w:sz w:val="24"/>
          <w:highlight w:val="none"/>
        </w:rPr>
      </w:pPr>
      <w:r>
        <w:rPr>
          <w:rFonts w:hint="eastAsia"/>
          <w:b/>
          <w:sz w:val="24"/>
          <w:highlight w:val="none"/>
        </w:rPr>
        <w:t>协议生效和终止</w:t>
      </w:r>
    </w:p>
    <w:p>
      <w:pPr>
        <w:widowControl/>
        <w:numPr>
          <w:ilvl w:val="0"/>
          <w:numId w:val="66"/>
        </w:numPr>
        <w:spacing w:line="360" w:lineRule="auto"/>
        <w:contextualSpacing/>
        <w:outlineLvl w:val="9"/>
        <w:rPr>
          <w:rFonts w:ascii="宋体" w:hAnsi="宋体"/>
          <w:sz w:val="24"/>
          <w:highlight w:val="none"/>
        </w:rPr>
      </w:pPr>
      <w:r>
        <w:rPr>
          <w:rFonts w:hint="eastAsia" w:ascii="宋体" w:hAnsi="宋体"/>
          <w:sz w:val="24"/>
          <w:highlight w:val="none"/>
        </w:rPr>
        <w:t xml:space="preserve">投资者和管理人双方认可本协议可以纸质或电子数据等形式提交、订立或确认。 </w:t>
      </w:r>
    </w:p>
    <w:p>
      <w:pPr>
        <w:widowControl/>
        <w:numPr>
          <w:ilvl w:val="0"/>
          <w:numId w:val="66"/>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本协议书以纸质书面形式订立的，自投资者</w:t>
      </w:r>
      <w:r>
        <w:rPr>
          <w:rFonts w:hint="eastAsia" w:ascii="宋体" w:hAnsi="宋体"/>
          <w:sz w:val="24"/>
          <w:highlight w:val="none"/>
          <w:lang w:val="en-US" w:eastAsia="zh-CN"/>
        </w:rPr>
        <w:t>签署（如投资者为个人，应签字；如投资者为机构，应法定代表人或授权代理人签字或盖章并加盖公章或有效授权印章）并经管理人系统确认购买理财计划份额</w:t>
      </w:r>
      <w:r>
        <w:rPr>
          <w:rFonts w:hint="eastAsia" w:ascii="宋体" w:hAnsi="宋体"/>
          <w:sz w:val="24"/>
          <w:highlight w:val="none"/>
        </w:rPr>
        <w:t>之后立即生效。协议一式</w:t>
      </w:r>
      <w:r>
        <w:rPr>
          <w:rFonts w:hint="eastAsia" w:ascii="宋体" w:hAnsi="宋体"/>
          <w:sz w:val="24"/>
          <w:highlight w:val="none"/>
          <w:lang w:eastAsia="zh-CN"/>
        </w:rPr>
        <w:t>贰</w:t>
      </w:r>
      <w:r>
        <w:rPr>
          <w:rFonts w:hint="eastAsia" w:ascii="宋体" w:hAnsi="宋体"/>
          <w:sz w:val="24"/>
          <w:highlight w:val="none"/>
        </w:rPr>
        <w:t>份，投资者和管理人双方各执</w:t>
      </w:r>
      <w:r>
        <w:rPr>
          <w:rFonts w:hint="eastAsia" w:ascii="宋体" w:hAnsi="宋体"/>
          <w:sz w:val="24"/>
          <w:highlight w:val="none"/>
          <w:lang w:eastAsia="zh-CN"/>
        </w:rPr>
        <w:t>壹</w:t>
      </w:r>
      <w:r>
        <w:rPr>
          <w:rFonts w:hint="eastAsia" w:ascii="宋体" w:hAnsi="宋体"/>
          <w:sz w:val="24"/>
          <w:highlight w:val="none"/>
        </w:rPr>
        <w:t xml:space="preserve">份，具有同等法律效力。 </w:t>
      </w:r>
    </w:p>
    <w:p>
      <w:pPr>
        <w:widowControl/>
        <w:numPr>
          <w:ilvl w:val="0"/>
          <w:numId w:val="66"/>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66"/>
        </w:numPr>
        <w:spacing w:line="360" w:lineRule="auto"/>
        <w:contextualSpacing/>
        <w:outlineLvl w:val="9"/>
        <w:rPr>
          <w:rFonts w:hint="eastAsia" w:ascii="宋体" w:hAnsi="宋体"/>
          <w:sz w:val="24"/>
          <w:highlight w:val="none"/>
        </w:rPr>
      </w:pPr>
      <w:r>
        <w:rPr>
          <w:rFonts w:hint="eastAsia" w:ascii="宋体" w:hAnsi="宋体"/>
          <w:sz w:val="24"/>
          <w:highlight w:val="none"/>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sz w:val="24"/>
          <w:highlight w:val="none"/>
        </w:rPr>
      </w:pPr>
    </w:p>
    <w:p>
      <w:pPr>
        <w:numPr>
          <w:ilvl w:val="0"/>
          <w:numId w:val="61"/>
        </w:numPr>
        <w:spacing w:line="360" w:lineRule="auto"/>
        <w:ind w:firstLine="482" w:firstLineChars="200"/>
        <w:outlineLvl w:val="9"/>
        <w:rPr>
          <w:b/>
          <w:sz w:val="24"/>
          <w:highlight w:val="none"/>
        </w:rPr>
      </w:pPr>
      <w:r>
        <w:rPr>
          <w:rFonts w:hint="eastAsia"/>
          <w:b/>
          <w:sz w:val="24"/>
          <w:highlight w:val="none"/>
        </w:rPr>
        <w:t>附则</w:t>
      </w:r>
    </w:p>
    <w:p>
      <w:pPr>
        <w:widowControl/>
        <w:numPr>
          <w:ilvl w:val="0"/>
          <w:numId w:val="67"/>
        </w:numPr>
        <w:spacing w:line="360" w:lineRule="auto"/>
        <w:contextualSpacing/>
        <w:outlineLvl w:val="9"/>
        <w:rPr>
          <w:rFonts w:ascii="宋体" w:hAnsi="宋体"/>
          <w:sz w:val="24"/>
          <w:highlight w:val="none"/>
        </w:rPr>
      </w:pPr>
      <w:r>
        <w:rPr>
          <w:rFonts w:hint="eastAsia" w:ascii="宋体" w:hAnsi="宋体"/>
          <w:sz w:val="24"/>
          <w:highlight w:val="none"/>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67"/>
        </w:numPr>
        <w:spacing w:line="360" w:lineRule="auto"/>
        <w:contextualSpacing/>
        <w:outlineLvl w:val="9"/>
        <w:rPr>
          <w:rFonts w:ascii="宋体" w:hAnsi="宋体"/>
          <w:sz w:val="24"/>
          <w:highlight w:val="none"/>
        </w:rPr>
      </w:pPr>
      <w:r>
        <w:rPr>
          <w:rFonts w:hint="eastAsia" w:ascii="宋体" w:hAnsi="宋体"/>
          <w:sz w:val="24"/>
          <w:highlight w:val="none"/>
        </w:rPr>
        <w:t>如果由于任何原因使本合同下的任何条款或内容成为无效或被依法撤销，本合同其他条款或内容的合法性、有效性和可执行性不受影响。</w:t>
      </w:r>
    </w:p>
    <w:p>
      <w:pPr>
        <w:widowControl/>
        <w:numPr>
          <w:ilvl w:val="0"/>
          <w:numId w:val="67"/>
        </w:numPr>
        <w:spacing w:line="360" w:lineRule="auto"/>
        <w:contextualSpacing/>
        <w:outlineLvl w:val="9"/>
        <w:rPr>
          <w:rFonts w:ascii="宋体" w:hAnsi="宋体"/>
          <w:sz w:val="24"/>
          <w:highlight w:val="none"/>
        </w:rPr>
      </w:pPr>
      <w:r>
        <w:rPr>
          <w:rFonts w:hint="eastAsia" w:ascii="宋体" w:hAnsi="宋体"/>
          <w:sz w:val="24"/>
          <w:highlight w:val="none"/>
        </w:rPr>
        <w:t>在理财计划存续期内，如因监管政策或法律法规发生变化，在不损害投资者利益的前提下，管理人有权单方对理财计划合同进行修订。</w:t>
      </w: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pStyle w:val="6"/>
        <w:widowControl/>
        <w:spacing w:line="360" w:lineRule="auto"/>
        <w:jc w:val="right"/>
        <w:rPr>
          <w:rFonts w:ascii="宋体" w:hAnsi="宋体" w:cs="宋体"/>
          <w:bCs/>
          <w:color w:val="000000"/>
          <w:sz w:val="24"/>
          <w:highlight w:val="none"/>
        </w:rPr>
      </w:pPr>
      <w:r>
        <w:rPr>
          <w:rFonts w:hint="eastAsia" w:ascii="宋体" w:hAnsi="宋体" w:cs="宋体"/>
          <w:kern w:val="0"/>
          <w:highlight w:val="none"/>
        </w:rPr>
        <w:t>杭银理财有限责任公司</w:t>
      </w:r>
    </w:p>
    <w:p>
      <w:pPr>
        <w:pageBreakBefore/>
        <w:widowControl/>
        <w:spacing w:line="360" w:lineRule="auto"/>
        <w:rPr>
          <w:rFonts w:ascii="宋体" w:hAnsi="宋体"/>
          <w:sz w:val="24"/>
          <w:highlight w:val="none"/>
        </w:rPr>
      </w:pPr>
      <w:r>
        <w:rPr>
          <w:rFonts w:hint="eastAsia" w:ascii="宋体" w:hAnsi="宋体"/>
          <w:sz w:val="24"/>
          <w:highlight w:val="none"/>
        </w:rPr>
        <w:t>本页为纸质形式（如有）</w:t>
      </w:r>
      <w:r>
        <w:rPr>
          <w:rFonts w:hint="eastAsia" w:ascii="宋体" w:hAnsi="宋体"/>
          <w:sz w:val="24"/>
          <w:highlight w:val="none"/>
          <w:lang w:val="en-US" w:eastAsia="zh-CN"/>
        </w:rPr>
        <w:t>投资</w:t>
      </w:r>
      <w:r>
        <w:rPr>
          <w:rFonts w:hint="eastAsia" w:ascii="宋体" w:hAnsi="宋体"/>
          <w:sz w:val="24"/>
          <w:highlight w:val="none"/>
        </w:rPr>
        <w:t>协议书签章页</w:t>
      </w: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rFonts w:hint="eastAsia" w:ascii="宋体" w:hAnsi="宋体"/>
          <w:b/>
          <w:bCs/>
          <w:sz w:val="24"/>
          <w:highlight w:val="none"/>
        </w:rPr>
      </w:pPr>
      <w:r>
        <w:rPr>
          <w:rFonts w:hint="eastAsia" w:ascii="宋体" w:hAnsi="宋体"/>
          <w:b/>
          <w:bCs/>
          <w:sz w:val="24"/>
          <w:highlight w:val="none"/>
        </w:rPr>
        <w:t>投资者（签字</w:t>
      </w:r>
      <w:r>
        <w:rPr>
          <w:rFonts w:hint="eastAsia" w:ascii="宋体" w:hAnsi="宋体" w:eastAsia="宋体" w:cs="黑体"/>
          <w:b/>
          <w:bCs/>
          <w:sz w:val="24"/>
          <w:highlight w:val="none"/>
          <w:lang w:eastAsia="zh-CN"/>
        </w:rPr>
        <w:t>或签章</w:t>
      </w:r>
      <w:r>
        <w:rPr>
          <w:rFonts w:hint="eastAsia" w:ascii="宋体" w:hAnsi="宋体"/>
          <w:b/>
          <w:bCs/>
          <w:sz w:val="24"/>
          <w:highlight w:val="none"/>
        </w:rPr>
        <w:t>）：</w:t>
      </w:r>
    </w:p>
    <w:p>
      <w:pPr>
        <w:spacing w:line="360" w:lineRule="auto"/>
        <w:rPr>
          <w:rFonts w:hint="eastAsia" w:ascii="宋体" w:hAnsi="宋体"/>
          <w:b/>
          <w:bCs/>
          <w:sz w:val="24"/>
          <w:highlight w:val="none"/>
        </w:rPr>
      </w:pPr>
    </w:p>
    <w:p>
      <w:pPr>
        <w:spacing w:line="360" w:lineRule="auto"/>
        <w:rPr>
          <w:rFonts w:hint="eastAsia" w:ascii="宋体" w:hAnsi="宋体"/>
          <w:b/>
          <w:bCs/>
          <w:sz w:val="24"/>
          <w:highlight w:val="none"/>
        </w:rPr>
      </w:pPr>
    </w:p>
    <w:p>
      <w:pPr>
        <w:spacing w:before="156" w:beforeLines="50" w:after="156" w:afterLines="50" w:line="360" w:lineRule="auto"/>
        <w:ind w:firstLine="4800" w:firstLineChars="2000"/>
        <w:jc w:val="right"/>
        <w:rPr>
          <w:rFonts w:ascii="宋体" w:hAnsi="宋体" w:cs="宋体"/>
          <w:bCs/>
          <w:color w:val="000000"/>
          <w:sz w:val="24"/>
          <w:highlight w:val="none"/>
        </w:rPr>
      </w:pPr>
      <w:r>
        <w:rPr>
          <w:rFonts w:hint="eastAsia" w:ascii="Arial" w:hAnsi="Arial"/>
          <w:sz w:val="24"/>
          <w:highlight w:val="none"/>
        </w:rPr>
        <w:t xml:space="preserve">   年   月   日</w:t>
      </w:r>
    </w:p>
    <w:p>
      <w:pPr>
        <w:pageBreakBefore/>
        <w:widowControl/>
        <w:spacing w:line="120" w:lineRule="auto"/>
        <w:jc w:val="center"/>
        <w:outlineLvl w:val="9"/>
        <w:rPr>
          <w:rFonts w:hint="eastAsia" w:ascii="Calibri" w:hAnsi="Calibri" w:eastAsia="宋体" w:cs="黑体"/>
          <w:b/>
          <w:bCs w:val="0"/>
          <w:sz w:val="44"/>
          <w:szCs w:val="44"/>
          <w:highlight w:val="none"/>
        </w:rPr>
      </w:pPr>
      <w:r>
        <w:rPr>
          <w:rFonts w:hint="eastAsia" w:ascii="Calibri" w:hAnsi="Calibri" w:eastAsia="宋体" w:cs="黑体"/>
          <w:b/>
          <w:bCs w:val="0"/>
          <w:sz w:val="44"/>
          <w:szCs w:val="44"/>
          <w:highlight w:val="none"/>
          <w:lang w:val="en-US" w:eastAsia="zh-CN"/>
        </w:rPr>
        <w:t>杭银理财理财计划</w:t>
      </w:r>
      <w:r>
        <w:rPr>
          <w:rFonts w:hint="eastAsia" w:ascii="Calibri" w:hAnsi="Calibri" w:eastAsia="宋体" w:cs="黑体"/>
          <w:b/>
          <w:bCs w:val="0"/>
          <w:sz w:val="44"/>
          <w:szCs w:val="44"/>
          <w:highlight w:val="none"/>
        </w:rPr>
        <w:t>销售协议书</w:t>
      </w:r>
    </w:p>
    <w:p>
      <w:pPr>
        <w:jc w:val="center"/>
        <w:rPr>
          <w:rFonts w:hint="eastAsia" w:ascii="宋体" w:hAnsi="宋体" w:eastAsia="宋体" w:cs="宋体"/>
          <w:b w:val="0"/>
          <w:bCs w:val="0"/>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202502</w:t>
      </w:r>
      <w:r>
        <w:rPr>
          <w:rFonts w:hint="eastAsia" w:ascii="宋体" w:hAnsi="宋体" w:eastAsia="宋体" w:cs="宋体"/>
          <w:sz w:val="28"/>
          <w:szCs w:val="28"/>
          <w:highlight w:val="none"/>
        </w:rPr>
        <w:t>版）</w:t>
      </w:r>
    </w:p>
    <w:p>
      <w:pPr>
        <w:spacing w:line="360" w:lineRule="auto"/>
        <w:jc w:val="center"/>
        <w:rPr>
          <w:rFonts w:hint="default"/>
          <w:sz w:val="32"/>
          <w:szCs w:val="40"/>
          <w:highlight w:val="none"/>
          <w:lang w:val="en-US" w:eastAsia="zh-CN"/>
        </w:rPr>
      </w:pPr>
      <w:r>
        <w:rPr>
          <w:rFonts w:hint="eastAsia" w:ascii="宋体" w:hAnsi="宋体" w:cs="宋体"/>
          <w:b/>
          <w:bCs/>
          <w:sz w:val="24"/>
          <w:highlight w:val="none"/>
          <w:u w:val="single"/>
        </w:rPr>
        <w:t>理财非存款、产品有风险、投资须谨慎</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Calibri" w:hAnsi="Calibri" w:eastAsia="宋体" w:cs="黑体"/>
          <w:b/>
          <w:bCs/>
          <w:sz w:val="24"/>
          <w:highlight w:val="none"/>
        </w:rPr>
      </w:pPr>
      <w:r>
        <w:rPr>
          <w:rFonts w:hint="eastAsia" w:ascii="Calibri" w:hAnsi="Calibri" w:eastAsia="宋体" w:cs="黑体"/>
          <w:b/>
          <w:bCs/>
          <w:sz w:val="24"/>
          <w:highlight w:val="none"/>
        </w:rPr>
        <w:t>特别提示：</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rPr>
        <w:t>杭银理财</w:t>
      </w:r>
      <w:r>
        <w:rPr>
          <w:rFonts w:hint="eastAsia" w:ascii="Calibri" w:hAnsi="Calibri" w:eastAsia="宋体" w:cs="黑体"/>
          <w:b/>
          <w:bCs/>
          <w:sz w:val="24"/>
          <w:highlight w:val="none"/>
          <w:lang w:val="en-US" w:eastAsia="zh-CN"/>
        </w:rPr>
        <w:t>理财计划销售协议书</w:t>
      </w:r>
      <w:r>
        <w:rPr>
          <w:rFonts w:hint="eastAsia" w:ascii="宋体" w:hAnsi="宋体" w:eastAsia="宋体" w:cs="宋体"/>
          <w:b/>
          <w:bCs/>
          <w:sz w:val="24"/>
          <w:highlight w:val="none"/>
          <w:lang w:val="en-US" w:eastAsia="zh-CN"/>
        </w:rPr>
        <w:t>（202502</w:t>
      </w:r>
      <w:r>
        <w:rPr>
          <w:rFonts w:hint="eastAsia" w:ascii="Calibri" w:hAnsi="Calibri" w:eastAsia="宋体" w:cs="黑体"/>
          <w:b/>
          <w:bCs/>
          <w:sz w:val="24"/>
          <w:highlight w:val="none"/>
          <w:lang w:val="en-US" w:eastAsia="zh-CN"/>
        </w:rPr>
        <w:t>版）</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lang w:val="en-US" w:eastAsia="zh-CN"/>
        </w:rPr>
        <w:t>与对应期次的</w:t>
      </w:r>
      <w:r>
        <w:rPr>
          <w:rFonts w:hint="eastAsia" w:eastAsia="宋体" w:cs="黑体"/>
          <w:b/>
          <w:bCs/>
          <w:sz w:val="24"/>
          <w:highlight w:val="none"/>
          <w:lang w:val="en-US" w:eastAsia="zh-CN"/>
        </w:rPr>
        <w:t>理财计划风险揭示书、理财计划产品说明书、投资者权益须知及</w:t>
      </w:r>
      <w:r>
        <w:rPr>
          <w:rFonts w:hint="eastAsia" w:ascii="Calibri" w:hAnsi="Calibri" w:eastAsia="宋体" w:cs="黑体"/>
          <w:b/>
          <w:bCs/>
          <w:sz w:val="24"/>
          <w:highlight w:val="none"/>
        </w:rPr>
        <w:t>理财计划投资协议书共同构成完整且不可分割的理财计划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。杭银理财有限责任公司（以下简称“杭银理财”）建议投资者在购买理财计划前认真阅读</w:t>
      </w:r>
      <w:r>
        <w:rPr>
          <w:rFonts w:hint="eastAsia" w:ascii="Calibri" w:hAnsi="Calibri" w:eastAsia="宋体" w:cs="黑体"/>
          <w:b/>
          <w:bCs/>
          <w:sz w:val="24"/>
          <w:highlight w:val="none"/>
          <w:lang w:val="en-US" w:eastAsia="zh-CN"/>
        </w:rPr>
        <w:t>全套</w:t>
      </w:r>
      <w:r>
        <w:rPr>
          <w:rFonts w:hint="eastAsia" w:ascii="Calibri" w:hAnsi="Calibri" w:eastAsia="宋体" w:cs="黑体"/>
          <w:b/>
          <w:bCs/>
          <w:sz w:val="24"/>
          <w:highlight w:val="none"/>
        </w:rPr>
        <w:t>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，投资者签署</w:t>
      </w:r>
      <w:r>
        <w:rPr>
          <w:rFonts w:hint="eastAsia" w:ascii="Calibri" w:hAnsi="Calibri" w:eastAsia="宋体" w:cs="黑体"/>
          <w:b/>
          <w:bCs/>
          <w:sz w:val="24"/>
          <w:highlight w:val="none"/>
          <w:lang w:val="en-US" w:eastAsia="zh-CN"/>
        </w:rPr>
        <w:t>本</w:t>
      </w:r>
      <w:r>
        <w:rPr>
          <w:rFonts w:hint="eastAsia" w:ascii="Calibri" w:hAnsi="Calibri" w:eastAsia="宋体" w:cs="黑体"/>
          <w:b/>
          <w:bCs/>
          <w:sz w:val="24"/>
          <w:highlight w:val="none"/>
        </w:rPr>
        <w:t>协议书（含电子渠道签署）即视为已详细阅读理财计划合同并知悉相关风险，自愿投资购买理财计划、遵守合同约定并承担相应风险。</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Calibri" w:hAnsi="Calibri" w:eastAsia="宋体" w:cs="黑体"/>
          <w:b/>
          <w:bCs/>
          <w:sz w:val="24"/>
          <w:highlight w:val="none"/>
          <w:lang w:val="en-US" w:eastAsia="zh-CN"/>
        </w:rPr>
      </w:pPr>
      <w:r>
        <w:rPr>
          <w:rFonts w:hint="eastAsia" w:ascii="Calibri" w:hAnsi="Calibri" w:eastAsia="宋体" w:cs="黑体"/>
          <w:b/>
          <w:bCs/>
          <w:sz w:val="24"/>
          <w:highlight w:val="none"/>
          <w:lang w:val="en-US" w:eastAsia="zh-CN"/>
        </w:rPr>
        <w:t>理财非存款、产品有风险、投资须谨慎，理财计划过往业绩不代表其未来表现，不等于理财计划实际收益。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理财计划销售的相关法律主体为发行理财计划的理财公司、</w:t>
      </w:r>
      <w:r>
        <w:rPr>
          <w:rFonts w:hint="eastAsia" w:eastAsia="宋体" w:cs="黑体"/>
          <w:sz w:val="24"/>
          <w:highlight w:val="none"/>
          <w:lang w:val="en-US" w:eastAsia="zh-CN"/>
        </w:rPr>
        <w:t>理财公司自有销售渠道以及</w:t>
      </w:r>
      <w:r>
        <w:rPr>
          <w:rFonts w:hint="eastAsia" w:ascii="Calibri" w:hAnsi="Calibri" w:eastAsia="宋体" w:cs="黑体"/>
          <w:sz w:val="24"/>
          <w:highlight w:val="none"/>
          <w:lang w:val="en-US" w:eastAsia="zh-CN"/>
        </w:rPr>
        <w:t>接受理财公司委托销售其发行理财计划的代理销售机构（以下简称“销售机构”）和投资者三方。理财公司是理财计划的设计发行方与管理人，</w:t>
      </w:r>
      <w:r>
        <w:rPr>
          <w:rFonts w:hint="eastAsia" w:eastAsia="宋体" w:cs="黑体"/>
          <w:sz w:val="24"/>
          <w:highlight w:val="none"/>
          <w:lang w:val="en-US" w:eastAsia="zh-CN"/>
        </w:rPr>
        <w:t>理财公司和</w:t>
      </w:r>
      <w:r>
        <w:rPr>
          <w:rFonts w:hint="eastAsia" w:ascii="Calibri" w:hAnsi="Calibri" w:eastAsia="宋体" w:cs="黑体"/>
          <w:sz w:val="24"/>
          <w:highlight w:val="none"/>
          <w:lang w:val="en-US" w:eastAsia="zh-CN"/>
        </w:rPr>
        <w:t>销售机构面向投资者实施销售行为，两方共同承担理财计划的合规销售和投资者合法权益保护义务。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投资者与销售机构经平等友好协商，本着自愿、诚实信用原则，就投资者购买销售机构代理销售的理财计划有关事宜达成如下协议（以下简称“本协议”）：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第一条 </w:t>
      </w:r>
      <w:r>
        <w:rPr>
          <w:rFonts w:hint="eastAsia" w:ascii="Calibri" w:hAnsi="Calibri" w:eastAsia="宋体" w:cs="黑体"/>
          <w:b/>
          <w:bCs/>
          <w:sz w:val="24"/>
          <w:highlight w:val="none"/>
          <w:lang w:val="en-US" w:eastAsia="zh-CN"/>
        </w:rPr>
        <w:t>名词释义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r>
        <w:rPr>
          <w:rFonts w:hint="eastAsia" w:ascii="Calibri" w:hAnsi="Calibri" w:eastAsia="宋体" w:cs="黑体"/>
          <w:bCs/>
          <w:sz w:val="24"/>
          <w:highlight w:val="none"/>
          <w:lang w:val="en-US" w:eastAsia="zh-CN"/>
        </w:rPr>
        <w:t>详见对应期次的理财计划产品说明书“释义”部分。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第二条 </w:t>
      </w:r>
      <w:r>
        <w:rPr>
          <w:rFonts w:hint="eastAsia" w:ascii="Calibri" w:hAnsi="Calibri" w:eastAsia="宋体" w:cs="黑体"/>
          <w:b/>
          <w:bCs/>
          <w:sz w:val="24"/>
          <w:highlight w:val="none"/>
          <w:lang w:val="en-US" w:eastAsia="zh-CN"/>
        </w:rPr>
        <w:t>投资者权利与义务</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eastAsia="宋体" w:cs="黑体"/>
          <w:color w:val="000000"/>
          <w:kern w:val="2"/>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投资者保证自身完全了解理财投资的性质，投资所涉及的风险以及自身风险承受能力，在慎重考虑后独立作出交易决定。</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b/>
          <w:bCs/>
          <w:sz w:val="24"/>
          <w:highlight w:val="none"/>
        </w:rPr>
        <w:t>投资者购买</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lang w:eastAsia="zh-CN"/>
        </w:rPr>
        <w:t>代理销售</w:t>
      </w:r>
      <w:r>
        <w:rPr>
          <w:rFonts w:hint="eastAsia" w:ascii="宋体" w:hAnsi="宋体" w:eastAsia="宋体" w:cs="黑体"/>
          <w:b/>
          <w:bCs/>
          <w:sz w:val="24"/>
          <w:highlight w:val="none"/>
        </w:rPr>
        <w:t>的私募</w:t>
      </w:r>
      <w:r>
        <w:rPr>
          <w:rFonts w:hint="eastAsia" w:ascii="宋体" w:hAnsi="宋体" w:eastAsia="宋体" w:cs="黑体"/>
          <w:b/>
          <w:bCs/>
          <w:sz w:val="24"/>
          <w:highlight w:val="none"/>
          <w:lang w:eastAsia="zh-CN"/>
        </w:rPr>
        <w:t>理财计划</w:t>
      </w:r>
      <w:r>
        <w:rPr>
          <w:rFonts w:hint="eastAsia" w:ascii="宋体" w:hAnsi="宋体" w:eastAsia="宋体" w:cs="黑体"/>
          <w:b/>
          <w:bCs/>
          <w:sz w:val="24"/>
          <w:highlight w:val="none"/>
        </w:rPr>
        <w:t>后，可以享有24 小时的投资冷静期，在投资冷静期内，如</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改变投资决定，应提出解除相应理财</w:t>
      </w:r>
      <w:r>
        <w:rPr>
          <w:rFonts w:hint="eastAsia" w:ascii="宋体" w:hAnsi="宋体" w:eastAsia="宋体" w:cs="黑体"/>
          <w:b/>
          <w:bCs/>
          <w:sz w:val="24"/>
          <w:highlight w:val="none"/>
          <w:lang w:val="en-US" w:eastAsia="zh-CN"/>
        </w:rPr>
        <w:t>计划合同</w:t>
      </w:r>
      <w:r>
        <w:rPr>
          <w:rFonts w:hint="eastAsia" w:ascii="宋体" w:hAnsi="宋体" w:eastAsia="宋体" w:cs="黑体"/>
          <w:b/>
          <w:bCs/>
          <w:sz w:val="24"/>
          <w:highlight w:val="none"/>
        </w:rPr>
        <w:t>文件申请，</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将及时退还</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的全部投资款项。</w:t>
      </w:r>
      <w:r>
        <w:rPr>
          <w:rFonts w:hint="eastAsia" w:ascii="宋体" w:hAnsi="宋体" w:eastAsia="宋体" w:cs="黑体"/>
          <w:sz w:val="24"/>
          <w:highlight w:val="none"/>
        </w:rPr>
        <w:t>投资冷静期相关约定详见</w:t>
      </w:r>
      <w:r>
        <w:rPr>
          <w:rFonts w:hint="eastAsia" w:ascii="宋体" w:hAnsi="宋体" w:eastAsia="宋体" w:cs="黑体"/>
          <w:sz w:val="24"/>
          <w:highlight w:val="none"/>
          <w:lang w:val="en-US" w:eastAsia="zh-CN"/>
        </w:rPr>
        <w:t>理财计划产品</w:t>
      </w:r>
      <w:r>
        <w:rPr>
          <w:rFonts w:hint="eastAsia" w:ascii="宋体" w:hAnsi="宋体" w:eastAsia="宋体" w:cs="黑体"/>
          <w:sz w:val="24"/>
          <w:highlight w:val="none"/>
        </w:rPr>
        <w:t>说明书</w:t>
      </w:r>
      <w:r>
        <w:rPr>
          <w:rFonts w:hint="eastAsia" w:ascii="宋体" w:hAnsi="宋体" w:eastAsia="宋体" w:cs="黑体"/>
          <w:sz w:val="24"/>
          <w:highlight w:val="none"/>
          <w:lang w:eastAsia="zh-CN"/>
        </w:rPr>
        <w:t>。</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投资者保证其有权利签署本协议和履行本协议所述的义务，并已为此采取一切所需的行为。</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投资者保证执行及交付任何文件或履行本协议项下的义务，均不会违反任何适用法律、法规、法令或法律限制</w:t>
      </w:r>
      <w:r>
        <w:rPr>
          <w:rFonts w:hint="eastAsia" w:ascii="宋体" w:hAnsi="宋体" w:eastAsia="宋体" w:cs="黑体"/>
          <w:sz w:val="24"/>
          <w:highlight w:val="none"/>
          <w:lang w:eastAsia="zh-CN"/>
        </w:rPr>
        <w:t>；</w:t>
      </w:r>
      <w:r>
        <w:rPr>
          <w:rFonts w:hint="eastAsia" w:ascii="宋体" w:hAnsi="宋体" w:eastAsia="宋体" w:cs="黑体"/>
          <w:sz w:val="24"/>
          <w:highlight w:val="none"/>
        </w:rPr>
        <w:t>不会违反任何法院或政府机关所作出的适用于投资者或投资者任何资产的判决或指令；不会违反对投资者或投资者任何资产有约束力的任何重大协议条款。投资者应在签署本协议的同时在</w:t>
      </w:r>
      <w:r>
        <w:rPr>
          <w:rFonts w:hint="eastAsia" w:ascii="宋体" w:hAnsi="宋体" w:eastAsia="宋体" w:cs="黑体"/>
          <w:sz w:val="24"/>
          <w:highlight w:val="none"/>
          <w:lang w:val="en-US" w:eastAsia="zh-CN"/>
        </w:rPr>
        <w:t>其</w:t>
      </w:r>
      <w:r>
        <w:rPr>
          <w:rFonts w:hint="eastAsia" w:ascii="宋体" w:hAnsi="宋体" w:eastAsia="宋体" w:cs="黑体"/>
          <w:sz w:val="24"/>
          <w:highlight w:val="none"/>
        </w:rPr>
        <w:t>授权指定</w:t>
      </w:r>
      <w:r>
        <w:rPr>
          <w:rFonts w:hint="eastAsia" w:ascii="宋体" w:hAnsi="宋体" w:eastAsia="宋体" w:cs="黑体"/>
          <w:sz w:val="24"/>
          <w:highlight w:val="none"/>
          <w:lang w:val="en-US" w:eastAsia="zh-CN"/>
        </w:rPr>
        <w:t>的</w:t>
      </w:r>
      <w:r>
        <w:rPr>
          <w:rFonts w:hint="eastAsia" w:ascii="宋体" w:hAnsi="宋体" w:eastAsia="宋体" w:cs="黑体"/>
          <w:sz w:val="24"/>
          <w:highlight w:val="none"/>
        </w:rPr>
        <w:t>账户</w:t>
      </w:r>
      <w:r>
        <w:rPr>
          <w:rFonts w:hint="eastAsia" w:ascii="宋体" w:hAnsi="宋体" w:eastAsia="宋体" w:cs="黑体"/>
          <w:sz w:val="24"/>
          <w:highlight w:val="none"/>
          <w:lang w:val="en-US" w:eastAsia="zh-CN"/>
        </w:rPr>
        <w:t>中（以下简称“授权指定账户”）</w:t>
      </w:r>
      <w:r>
        <w:rPr>
          <w:rFonts w:hint="eastAsia" w:ascii="宋体" w:hAnsi="宋体" w:eastAsia="宋体" w:cs="黑体"/>
          <w:sz w:val="24"/>
          <w:highlight w:val="none"/>
        </w:rPr>
        <w:t>存入足额的资金以确保账户余额大于或等于认/申购金额。</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在此确认</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的系统记录以及录音、录像构成对</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操作行为（包括但不限于购买、赎回、撤单）的有效证据，并且在</w:t>
      </w:r>
      <w:r>
        <w:rPr>
          <w:rFonts w:hint="eastAsia" w:ascii="宋体" w:hAnsi="宋体" w:eastAsia="宋体" w:cs="黑体"/>
          <w:b/>
          <w:bCs/>
          <w:sz w:val="24"/>
          <w:highlight w:val="none"/>
          <w:lang w:val="en-US" w:eastAsia="zh-CN"/>
        </w:rPr>
        <w:t>双</w:t>
      </w:r>
      <w:r>
        <w:rPr>
          <w:rFonts w:hint="eastAsia" w:ascii="宋体" w:hAnsi="宋体" w:eastAsia="宋体" w:cs="黑体"/>
          <w:b/>
          <w:bCs/>
          <w:sz w:val="24"/>
          <w:highlight w:val="none"/>
        </w:rPr>
        <w:t>方发生争议时可以作为合法有效的证据使用</w:t>
      </w:r>
      <w:r>
        <w:rPr>
          <w:rFonts w:hint="eastAsia" w:ascii="宋体" w:hAnsi="宋体" w:eastAsia="宋体" w:cs="黑体"/>
          <w:sz w:val="24"/>
          <w:highlight w:val="none"/>
          <w:lang w:eastAsia="zh-CN"/>
        </w:rPr>
        <w:t>。</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在本理财计划存续期内，如有权机关要求</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配合对投资者理财份额、理财账户、授权指定账户进行查封、冻结或扣划的，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有权根据实际情况采取</w:t>
      </w:r>
      <w:r>
        <w:rPr>
          <w:rFonts w:hint="eastAsia" w:ascii="宋体" w:hAnsi="宋体" w:eastAsia="宋体" w:cs="黑体"/>
          <w:sz w:val="24"/>
          <w:highlight w:val="none"/>
          <w:lang w:val="en-US" w:eastAsia="zh-CN"/>
        </w:rPr>
        <w:t>相应</w:t>
      </w:r>
      <w:r>
        <w:rPr>
          <w:rFonts w:hint="eastAsia" w:ascii="宋体" w:hAnsi="宋体" w:eastAsia="宋体" w:cs="黑体"/>
          <w:sz w:val="24"/>
          <w:highlight w:val="none"/>
        </w:rPr>
        <w:t>措施。</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对上述后果不承担任何责任。 </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本协议终止前，投资者不得将授权指定账户销户。若发生因投资者注销授权指定账户造成理财计划无法正常兑付的，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不承担任何责任。</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投资者应确保其提供的所有资料真实、完整、合法、有效，如果有任何变更，投资者应及时通知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并办理变更手续。如因投资者未及时通知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并办理相应的变更手续，由此导致的一切后果由投资者自行承担，</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lang w:val="en-US" w:eastAsia="zh-CN"/>
        </w:rPr>
        <w:t>投资者</w:t>
      </w:r>
      <w:r>
        <w:rPr>
          <w:rFonts w:hint="eastAsia" w:ascii="宋体" w:hAnsi="宋体" w:eastAsia="宋体" w:cs="黑体"/>
          <w:sz w:val="24"/>
          <w:highlight w:val="none"/>
        </w:rPr>
        <w:t>对本协议及其条款负有保密义务，未经</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书面许可，不得向任何组织、个人提供或泄露与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有关的业务资料及信息，但法律、法规另有规定的除外</w:t>
      </w:r>
      <w:r>
        <w:rPr>
          <w:rFonts w:hint="eastAsia" w:ascii="宋体" w:hAnsi="宋体" w:eastAsia="宋体" w:cs="黑体"/>
          <w:sz w:val="24"/>
          <w:highlight w:val="none"/>
          <w:lang w:eastAsia="zh-CN"/>
        </w:rPr>
        <w:t>。</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投资者进行投资时，应严格遵守反洗钱相关法规的规定，切实履行反洗钱及反恐怖融资义务。</w:t>
      </w:r>
    </w:p>
    <w:p>
      <w:pPr>
        <w:widowControl/>
        <w:numPr>
          <w:ilvl w:val="0"/>
          <w:numId w:val="68"/>
        </w:numPr>
        <w:spacing w:line="360" w:lineRule="auto"/>
        <w:ind w:left="0" w:leftChars="0" w:firstLine="420" w:firstLineChars="0"/>
        <w:contextualSpacing/>
        <w:outlineLvl w:val="9"/>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投资者个人信息授权</w:t>
      </w:r>
    </w:p>
    <w:p>
      <w:pPr>
        <w:widowControl/>
        <w:numPr>
          <w:ilvl w:val="0"/>
          <w:numId w:val="0"/>
        </w:numPr>
        <w:spacing w:line="360" w:lineRule="auto"/>
        <w:ind w:left="0" w:leftChars="0" w:firstLine="482" w:firstLineChars="200"/>
        <w:contextualSpacing/>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基于销售机构履行本协议、进行服务管理和风险管理、报送监管信息等需要，履行反洗钱、投资者资质审核和销售适当性等法律法规和监管要求的义务，投资者在此同意并授权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numPr>
          <w:ilvl w:val="0"/>
          <w:numId w:val="68"/>
        </w:numPr>
        <w:spacing w:line="360" w:lineRule="auto"/>
        <w:ind w:left="0" w:leftChars="0" w:firstLine="420" w:firstLineChars="0"/>
        <w:contextualSpacing/>
        <w:outlineLvl w:val="9"/>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w:t>
      </w:r>
      <w:r>
        <w:rPr>
          <w:rFonts w:hint="eastAsia" w:ascii="宋体" w:hAnsi="宋体"/>
          <w:b/>
          <w:bCs/>
          <w:sz w:val="24"/>
          <w:highlight w:val="none"/>
        </w:rPr>
        <w:t>资者同意关于杭银理财发行且被评定为中高风险及以上的理财计划，可通过经杭银理财认可的销售渠道（含线上渠道和线下渠道等）进行交易。如通过线上渠道办理，投资者知晓并确认自身对于上述理财计划的特性及风险有充分的了解与判断。如销售机构有相关规定的，则应以销售机构的要求为准。</w:t>
      </w:r>
    </w:p>
    <w:p>
      <w:pPr>
        <w:widowControl/>
        <w:numPr>
          <w:ilvl w:val="0"/>
          <w:numId w:val="0"/>
        </w:numPr>
        <w:spacing w:line="360" w:lineRule="auto"/>
        <w:ind w:left="0" w:leftChars="0" w:firstLine="482" w:firstLineChars="200"/>
        <w:contextualSpacing/>
        <w:rPr>
          <w:rFonts w:hint="default"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第三条 </w:t>
      </w:r>
      <w:r>
        <w:rPr>
          <w:rFonts w:hint="eastAsia" w:ascii="Calibri" w:hAnsi="Calibri" w:eastAsia="宋体" w:cs="黑体"/>
          <w:b/>
          <w:bCs/>
          <w:sz w:val="24"/>
          <w:highlight w:val="none"/>
          <w:lang w:val="en-US" w:eastAsia="zh-CN"/>
        </w:rPr>
        <w:t>销售机构的权利与义务</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拟销售的理财计划开展尽职调查，承担审批职责，并纳入本机构统一专门名单管理，不得仅以管理人相关产品资料或其出具意见作为审批依据。销售机构应当根据本机构的方式和方法，独立、审慎地对代理销售的理财计划进行销售评级。销售评级与管理人产品评级结果不一致的，销售机构应当采用对应较高风险等级的评级结果并予以披露。</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b/>
          <w:bCs/>
          <w:sz w:val="24"/>
          <w:highlight w:val="none"/>
          <w:lang w:val="en-US" w:eastAsia="zh-CN"/>
        </w:rPr>
        <w:t>代理销售机构非本计划的发行、管理机构，对本计划的业绩不承担任何保证和其他经济责任，不承担本计划的投资、兑付和风险管理责任</w:t>
      </w:r>
      <w:r>
        <w:rPr>
          <w:rFonts w:hint="eastAsia" w:ascii="宋体" w:hAnsi="宋体" w:eastAsia="宋体" w:cs="黑体"/>
          <w:sz w:val="24"/>
          <w:highlight w:val="none"/>
          <w:lang w:val="en-US" w:eastAsia="zh-CN"/>
        </w:rPr>
        <w:t>。</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销售机构应定期对购买其代理销售的理财计划的非机构投资者进行有效风险承受能力评估，并保证向投资者推介及销售与其风险承受能力匹配的产品。</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对于通过营业网点向非机构投资者销售理财计划的，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销售机构应建立健全上岗资格、持续培训、信息公示与查询核实等制度并有效执行。未经销售机构进行上岗资格认定并签订劳动合同，任何人员不得从事理财计划销售业务活动。</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销售机构应对所有销售人员信息进行登记和公示。销售人员在向投资者宣传销售理财计划前进行自我介绍并告知信息查询和核实渠道，便于投资者查询核实，防止伪冒身份和虚假宣传。</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销售机构对投资者负有信息保密义务，未经投资者书面许可，销售机构不得向任何组织、个人提供或泄露与投资者有关的业务资料及信息，但法律、法规、监管机构另有规定的除外。</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销售机构应按照法律法规、监管规定、理财计划合同的约定收取销售费用，并如实核算、记账。未经载明，不得对不同投资者适用不同费率。</w:t>
      </w:r>
    </w:p>
    <w:p>
      <w:pPr>
        <w:keepNext w:val="0"/>
        <w:keepLines w:val="0"/>
        <w:pageBreakBefore w:val="0"/>
        <w:widowControl/>
        <w:numPr>
          <w:ilvl w:val="0"/>
          <w:numId w:val="63"/>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理财计划销售结算资金属于理财计划投资者，销售机构不得挪用理财计划销售结算资金或将理财计划销售结算资金归入自有资产。</w:t>
      </w:r>
    </w:p>
    <w:p>
      <w:pPr>
        <w:keepNext w:val="0"/>
        <w:keepLines w:val="0"/>
        <w:pageBreakBefore w:val="0"/>
        <w:widowControl/>
        <w:numPr>
          <w:ilvl w:val="0"/>
          <w:numId w:val="63"/>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销售机构应遵守相关法律、法规、监管规定及理财计划合同约定，诚实守信、勤勉尽责，向购买理财计划的投资者充分传递管理人披露的产品相关信息并进行充分的风险揭示。</w:t>
      </w:r>
    </w:p>
    <w:p>
      <w:pPr>
        <w:keepNext w:val="0"/>
        <w:keepLines w:val="0"/>
        <w:pageBreakBefore w:val="0"/>
        <w:widowControl/>
        <w:numPr>
          <w:ilvl w:val="0"/>
          <w:numId w:val="63"/>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销售机构应当充分利用科技手段，加强对伪冒网站、伪冒产品等监测，有效防范各类欺诈风险。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2" w:firstLine="0"/>
        <w:contextualSpacing/>
        <w:jc w:val="left"/>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第四条 </w:t>
      </w:r>
      <w:r>
        <w:rPr>
          <w:rFonts w:hint="eastAsia" w:ascii="Calibri" w:hAnsi="Calibri" w:eastAsia="宋体" w:cs="黑体"/>
          <w:b/>
          <w:bCs/>
          <w:sz w:val="24"/>
          <w:highlight w:val="none"/>
          <w:lang w:val="en-US" w:eastAsia="zh-CN"/>
        </w:rPr>
        <w:t>理财计划认（申）购、赎回及终止</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 xml:space="preserve">理财计划认/申购办理流程：参照投资者权益须知约定。 </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理财计划认/申购确认：管理人根据</w:t>
      </w:r>
      <w:r>
        <w:rPr>
          <w:rFonts w:hint="eastAsia" w:ascii="宋体" w:hAnsi="宋体" w:eastAsia="宋体" w:cs="黑体"/>
          <w:sz w:val="24"/>
          <w:highlight w:val="none"/>
          <w:lang w:eastAsia="zh-CN"/>
        </w:rPr>
        <w:t>销售</w:t>
      </w:r>
      <w:r>
        <w:rPr>
          <w:rFonts w:hint="eastAsia" w:ascii="宋体" w:hAnsi="宋体" w:eastAsia="宋体" w:cs="黑体"/>
          <w:sz w:val="24"/>
          <w:highlight w:val="none"/>
        </w:rPr>
        <w:t>渠道提供的交易信息及资金划付对投资者相应认/申购进行确认。</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理财计划不成立：若在募集期结束日，本理财计划发行规模未能达到对应期次的理财计划产品说明书规定的要求，则本理财计划不成立，</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 xml:space="preserve">将按对应期次的理财计划产品说明书约定条款向投资者进行公告，并将及时解除对投资者授权指定账户中认购资金的冻结。 </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 xml:space="preserve">理财计划投资品种、投资起点金额、收益支付方式：参照对应期次的理财计划产品说明书中的条款约定。 </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理财计划赎回/终止兑付：在正常情况下，管理人和</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产品说明书约定管理人对理财计划进行延期或转换时，</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将于原约定清算日前通过信息披露途径及时通知，并根据实际情况进行后续处理。</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资金清算：理财计划终止或份额赎回时，管理人按理财计划合同约定划付至</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清算账户后，由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向投资者划付投资者应得资金。如因投资者清算账户余额不足，或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未及时足额划付资金，或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清算账户内资金被依法冻结或扣划，或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清算账户处于被挂失、冻结、注销或其他非正常状态等原因而导致交易失败</w:t>
      </w:r>
      <w:r>
        <w:rPr>
          <w:rFonts w:hint="eastAsia" w:ascii="宋体" w:hAnsi="宋体" w:eastAsia="宋体" w:cs="黑体"/>
          <w:sz w:val="24"/>
          <w:highlight w:val="none"/>
          <w:lang w:eastAsia="zh-CN"/>
        </w:rPr>
        <w:t>，</w:t>
      </w:r>
      <w:r>
        <w:rPr>
          <w:rFonts w:hint="eastAsia" w:ascii="宋体" w:hAnsi="宋体" w:eastAsia="宋体" w:cs="黑体"/>
          <w:sz w:val="24"/>
          <w:highlight w:val="none"/>
        </w:rPr>
        <w:t>对于因上述原因导致的交易失败可能带来的任何损失及预期损失，投资者须自行承担或向</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依法主张。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78" w:leftChars="85" w:firstLine="0" w:firstLineChars="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第五条 </w:t>
      </w:r>
      <w:r>
        <w:rPr>
          <w:rFonts w:hint="eastAsia" w:ascii="Calibri" w:hAnsi="Calibri" w:eastAsia="宋体" w:cs="黑体"/>
          <w:b/>
          <w:bCs/>
          <w:sz w:val="24"/>
          <w:highlight w:val="none"/>
          <w:lang w:val="en-US" w:eastAsia="zh-CN"/>
        </w:rPr>
        <w:t>违约责任及免责条款</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若因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原因导致司法或行政</w:t>
      </w:r>
      <w:r>
        <w:rPr>
          <w:rFonts w:hint="eastAsia" w:ascii="宋体" w:hAnsi="宋体" w:eastAsia="宋体" w:cs="黑体"/>
          <w:sz w:val="24"/>
          <w:highlight w:val="none"/>
          <w:lang w:eastAsia="zh-CN"/>
        </w:rPr>
        <w:t>等有权机关</w:t>
      </w:r>
      <w:r>
        <w:rPr>
          <w:rFonts w:hint="eastAsia" w:ascii="宋体" w:hAnsi="宋体" w:eastAsia="宋体" w:cs="黑体"/>
          <w:sz w:val="24"/>
          <w:highlight w:val="none"/>
        </w:rPr>
        <w:t>采取强制措施对其理财本金、收益进行部分或全部被扣划，均视投资者本人就全部理财本金进行了提前</w:t>
      </w:r>
      <w:r>
        <w:rPr>
          <w:rFonts w:hint="eastAsia" w:ascii="宋体" w:hAnsi="宋体" w:eastAsia="宋体" w:cs="黑体"/>
          <w:sz w:val="24"/>
          <w:highlight w:val="none"/>
          <w:lang w:eastAsia="zh-CN"/>
        </w:rPr>
        <w:t>赎回</w:t>
      </w:r>
      <w:r>
        <w:rPr>
          <w:rFonts w:hint="eastAsia" w:ascii="宋体" w:hAnsi="宋体" w:eastAsia="宋体" w:cs="黑体"/>
          <w:sz w:val="24"/>
          <w:highlight w:val="none"/>
        </w:rPr>
        <w:t>，本</w:t>
      </w:r>
      <w:r>
        <w:rPr>
          <w:rFonts w:hint="eastAsia" w:ascii="宋体" w:hAnsi="宋体" w:eastAsia="宋体" w:cs="黑体"/>
          <w:sz w:val="24"/>
          <w:highlight w:val="none"/>
          <w:lang w:eastAsia="zh-CN"/>
        </w:rPr>
        <w:t>协议</w:t>
      </w:r>
      <w:r>
        <w:rPr>
          <w:rFonts w:hint="eastAsia" w:ascii="宋体" w:hAnsi="宋体" w:eastAsia="宋体" w:cs="黑体"/>
          <w:sz w:val="24"/>
          <w:highlight w:val="none"/>
        </w:rPr>
        <w:t>自动终止。因提前终止而产生的损失及相关费用由投资者承担。本</w:t>
      </w:r>
      <w:r>
        <w:rPr>
          <w:rFonts w:hint="eastAsia" w:ascii="宋体" w:hAnsi="宋体" w:eastAsia="宋体" w:cs="黑体"/>
          <w:sz w:val="24"/>
          <w:highlight w:val="none"/>
          <w:lang w:eastAsia="zh-CN"/>
        </w:rPr>
        <w:t>协议因</w:t>
      </w:r>
      <w:r>
        <w:rPr>
          <w:rFonts w:hint="eastAsia" w:ascii="宋体" w:hAnsi="宋体" w:eastAsia="宋体" w:cs="黑体"/>
          <w:sz w:val="24"/>
          <w:highlight w:val="none"/>
        </w:rPr>
        <w:t>前述情况终止的，理财本金不计付</w:t>
      </w:r>
      <w:r>
        <w:rPr>
          <w:rFonts w:hint="eastAsia" w:ascii="宋体" w:hAnsi="宋体" w:eastAsia="宋体" w:cs="黑体"/>
          <w:sz w:val="24"/>
          <w:highlight w:val="none"/>
          <w:lang w:eastAsia="zh-CN"/>
        </w:rPr>
        <w:t>赎回</w:t>
      </w:r>
      <w:r>
        <w:rPr>
          <w:rFonts w:hint="eastAsia" w:ascii="宋体" w:hAnsi="宋体" w:eastAsia="宋体" w:cs="黑体"/>
          <w:sz w:val="24"/>
          <w:highlight w:val="none"/>
        </w:rPr>
        <w:t>日前的理财收益，也不计付存款利息。</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投资者违反本协议第二条内容，应承担相应违约责任。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对由此导致的理财业务交易延误、中断、终止及</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损失不承担任何责任，并有权单方终止双方理财业务关系。因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违反双方约定给</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或全体投资者造成损失的，</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应承担相应的赔偿责任。</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若由于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过错导致理财计划资产发生损失，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应按其过错承担赔偿责任，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赔偿的款项计入理财计划的资产和收益。</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由于地震、火灾、战争等不可抗力或突发重大卫生公共事件等不可预测事件造成的交易中断、延误等风险及损失，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不承担责任；但</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应在上述情况发生</w:t>
      </w:r>
      <w:r>
        <w:rPr>
          <w:rFonts w:hint="eastAsia" w:ascii="宋体" w:hAnsi="宋体" w:eastAsia="宋体" w:cs="黑体"/>
          <w:sz w:val="24"/>
          <w:highlight w:val="none"/>
          <w:lang w:eastAsia="zh-CN"/>
        </w:rPr>
        <w:t>后</w:t>
      </w:r>
      <w:r>
        <w:rPr>
          <w:rFonts w:hint="eastAsia" w:ascii="宋体" w:hAnsi="宋体" w:eastAsia="宋体" w:cs="黑体"/>
          <w:sz w:val="24"/>
          <w:highlight w:val="none"/>
        </w:rPr>
        <w:t>在条件允许时及时通知</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并采取一切必要且可能的措施阻止损失扩大。</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因国家有关法律、法规、规章、政策的修改或新的法律、法规、规章、政策颁布以及紧急措施的出台导致的风险及损失，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b/>
          <w:bCs/>
          <w:sz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第六条 </w:t>
      </w:r>
      <w:r>
        <w:rPr>
          <w:rFonts w:hint="eastAsia" w:ascii="Calibri" w:hAnsi="Calibri" w:eastAsia="宋体" w:cs="黑体"/>
          <w:b/>
          <w:bCs/>
          <w:sz w:val="24"/>
          <w:highlight w:val="none"/>
          <w:lang w:val="en-US" w:eastAsia="zh-CN"/>
        </w:rPr>
        <w:t>适用法律与争议解决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本协议适用中华人民共和国（仅为明确本合同适用法律规则，不含香港特别行政区、澳门特别行政区及中国台湾地区）的法律和行政法规。本协议项下的及与之有关的一切争议，投资者与销售机构双方应首先协商解决，协商不成的，应提交被告人所在地人民法院诉讼解决。诉讼期间，未涉及争议的条款仍需继续履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第七条 </w:t>
      </w:r>
      <w:r>
        <w:rPr>
          <w:rFonts w:hint="eastAsia" w:ascii="Calibri" w:hAnsi="Calibri" w:eastAsia="宋体" w:cs="黑体"/>
          <w:b/>
          <w:bCs/>
          <w:sz w:val="24"/>
          <w:highlight w:val="none"/>
          <w:lang w:val="en-US" w:eastAsia="zh-CN"/>
        </w:rPr>
        <w:t>协议生效和终止</w:t>
      </w:r>
    </w:p>
    <w:p>
      <w:pPr>
        <w:keepNext w:val="0"/>
        <w:keepLines w:val="0"/>
        <w:pageBreakBefore w:val="0"/>
        <w:widowControl/>
        <w:numPr>
          <w:ilvl w:val="0"/>
          <w:numId w:val="72"/>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双方认可本协议可以纸质或电子数据等形式提交、订立或确认。 </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本协议书</w:t>
      </w:r>
      <w:r>
        <w:rPr>
          <w:rFonts w:hint="eastAsia" w:ascii="宋体" w:hAnsi="宋体"/>
          <w:sz w:val="24"/>
          <w:highlight w:val="none"/>
        </w:rPr>
        <w:t>以纸质书面形式订立的，自投资者签</w:t>
      </w:r>
      <w:r>
        <w:rPr>
          <w:rFonts w:hint="eastAsia" w:ascii="宋体" w:hAnsi="宋体"/>
          <w:sz w:val="24"/>
          <w:highlight w:val="none"/>
          <w:lang w:val="en-US" w:eastAsia="zh-CN"/>
        </w:rPr>
        <w:t>署（如投资者为个人，应签字；如投资者为机构，应法定代表人或授权代理人签字或盖章并加盖公章或有效授权印章）</w:t>
      </w:r>
      <w:r>
        <w:rPr>
          <w:rFonts w:hint="eastAsia" w:ascii="宋体" w:hAnsi="宋体"/>
          <w:sz w:val="24"/>
          <w:highlight w:val="none"/>
        </w:rPr>
        <w:t>和</w:t>
      </w:r>
      <w:r>
        <w:rPr>
          <w:rFonts w:hint="eastAsia" w:ascii="宋体" w:hAnsi="宋体"/>
          <w:sz w:val="24"/>
          <w:highlight w:val="none"/>
          <w:lang w:eastAsia="zh-CN"/>
        </w:rPr>
        <w:t>销售机构</w:t>
      </w:r>
      <w:r>
        <w:rPr>
          <w:rFonts w:hint="eastAsia" w:ascii="宋体" w:hAnsi="宋体"/>
          <w:sz w:val="24"/>
          <w:highlight w:val="none"/>
        </w:rPr>
        <w:t>签章之后立即生效。协议一式叁份，投资者、管理人和</w:t>
      </w:r>
      <w:r>
        <w:rPr>
          <w:rFonts w:hint="eastAsia" w:ascii="宋体" w:hAnsi="宋体"/>
          <w:sz w:val="24"/>
          <w:highlight w:val="none"/>
          <w:lang w:eastAsia="zh-CN"/>
        </w:rPr>
        <w:t>销售机构</w:t>
      </w:r>
      <w:r>
        <w:rPr>
          <w:rFonts w:hint="eastAsia" w:ascii="宋体" w:hAnsi="宋体"/>
          <w:sz w:val="24"/>
          <w:highlight w:val="none"/>
        </w:rPr>
        <w:t>各执壹份，具有同等法律效力。</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本协议书以数据电文形式订立的，投资者在销售机构的电子银行</w:t>
      </w:r>
      <w:r>
        <w:rPr>
          <w:rFonts w:hint="eastAsia" w:ascii="宋体" w:hAnsi="宋体" w:eastAsia="宋体" w:cs="黑体"/>
          <w:sz w:val="24"/>
          <w:highlight w:val="none"/>
          <w:lang w:eastAsia="zh-CN"/>
        </w:rPr>
        <w:t>渠道</w:t>
      </w:r>
      <w:r>
        <w:rPr>
          <w:rFonts w:hint="eastAsia" w:ascii="宋体" w:hAnsi="宋体" w:eastAsia="宋体" w:cs="黑体"/>
          <w:sz w:val="24"/>
          <w:highlight w:val="none"/>
        </w:rPr>
        <w:t>（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双方在本协议及对应期次的理财计划产品说明书项下权利义务履行完毕之日，本协议自动终止。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firstLine="0"/>
        <w:contextualSpacing/>
        <w:textAlignment w:val="auto"/>
        <w:rPr>
          <w:rFonts w:hint="eastAsia" w:ascii="宋体" w:hAnsi="宋体"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val="0"/>
          <w:sz w:val="24"/>
          <w:highlight w:val="none"/>
          <w:lang w:val="en-US" w:eastAsia="zh-CN"/>
        </w:rPr>
      </w:pPr>
      <w:r>
        <w:rPr>
          <w:rFonts w:hint="eastAsia" w:eastAsia="宋体" w:cs="黑体"/>
          <w:b/>
          <w:bCs w:val="0"/>
          <w:sz w:val="24"/>
          <w:highlight w:val="none"/>
          <w:lang w:val="en-US" w:eastAsia="zh-CN"/>
        </w:rPr>
        <w:t xml:space="preserve">第八条 </w:t>
      </w:r>
      <w:r>
        <w:rPr>
          <w:rFonts w:hint="eastAsia" w:ascii="Calibri" w:hAnsi="Calibri" w:eastAsia="宋体" w:cs="黑体"/>
          <w:b/>
          <w:bCs w:val="0"/>
          <w:sz w:val="24"/>
          <w:highlight w:val="none"/>
          <w:lang w:val="en-US" w:eastAsia="zh-CN"/>
        </w:rPr>
        <w:t xml:space="preserve">附则 </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如果投资者与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之间存在多份理财计划</w:t>
      </w:r>
      <w:r>
        <w:rPr>
          <w:rFonts w:hint="eastAsia" w:ascii="宋体" w:hAnsi="宋体" w:eastAsia="宋体" w:cs="黑体"/>
          <w:sz w:val="24"/>
          <w:highlight w:val="none"/>
          <w:lang w:val="en-US" w:eastAsia="zh-CN"/>
        </w:rPr>
        <w:t>销售</w:t>
      </w:r>
      <w:r>
        <w:rPr>
          <w:rFonts w:hint="eastAsia" w:ascii="宋体" w:hAnsi="宋体" w:eastAsia="宋体" w:cs="黑体"/>
          <w:sz w:val="24"/>
          <w:highlight w:val="none"/>
        </w:rPr>
        <w:t>协议书，则每一协议书分别与其所对应的</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产品说明书等销售文本单独构成一个理财计划合同，各个合同之间互相独立，每一合同的效力及履行情况均独立于其他合同。</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如果由于任何原因使本合同下的任何条款或内容成为无效或被依法撤销，本合同其他条款或内容的合法性、有效性和可执行性不受影响。</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在理财计划存续期内，如因监管政策或法律法规发生变化，在不损害投资者利益的前提下，</w:t>
      </w:r>
      <w:r>
        <w:rPr>
          <w:rFonts w:hint="eastAsia" w:ascii="宋体" w:hAnsi="宋体" w:eastAsia="宋体" w:cs="黑体"/>
          <w:sz w:val="24"/>
          <w:highlight w:val="none"/>
          <w:lang w:val="en-US" w:eastAsia="zh-CN"/>
        </w:rPr>
        <w:t>管理人</w:t>
      </w:r>
      <w:r>
        <w:rPr>
          <w:rFonts w:hint="eastAsia" w:ascii="宋体" w:hAnsi="宋体" w:eastAsia="宋体" w:cs="黑体"/>
          <w:sz w:val="24"/>
          <w:highlight w:val="none"/>
        </w:rPr>
        <w:t>有权单方对理财计划</w:t>
      </w:r>
      <w:r>
        <w:rPr>
          <w:rFonts w:hint="default" w:ascii="宋体" w:hAnsi="宋体" w:eastAsia="宋体" w:cs="黑体"/>
          <w:sz w:val="24"/>
          <w:highlight w:val="none"/>
          <w:lang w:val="en-US"/>
        </w:rPr>
        <w:t>合同</w:t>
      </w:r>
      <w:r>
        <w:rPr>
          <w:rFonts w:hint="eastAsia" w:ascii="宋体" w:hAnsi="宋体" w:eastAsia="宋体" w:cs="黑体"/>
          <w:sz w:val="24"/>
          <w:highlight w:val="none"/>
          <w:lang w:val="en-US" w:eastAsia="zh-CN"/>
        </w:rPr>
        <w:t>销售文件</w:t>
      </w:r>
      <w:r>
        <w:rPr>
          <w:rFonts w:hint="eastAsia" w:ascii="宋体" w:hAnsi="宋体" w:eastAsia="宋体" w:cs="黑体"/>
          <w:sz w:val="24"/>
          <w:highlight w:val="none"/>
        </w:rPr>
        <w:t>进行修订。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widowControl/>
        <w:spacing w:line="360" w:lineRule="auto"/>
        <w:jc w:val="right"/>
        <w:rPr>
          <w:rFonts w:hint="eastAsia" w:ascii="宋体" w:hAnsi="宋体" w:eastAsia="宋体" w:cs="黑体"/>
          <w:b w:val="0"/>
          <w:bCs w:val="0"/>
          <w:sz w:val="24"/>
          <w:szCs w:val="24"/>
          <w:highlight w:val="none"/>
          <w:lang w:val="en-US" w:eastAsia="zh-CN"/>
        </w:rPr>
      </w:pPr>
      <w:r>
        <w:rPr>
          <w:rFonts w:hint="eastAsia" w:ascii="宋体" w:hAnsi="宋体" w:eastAsia="宋体" w:cs="宋体"/>
          <w:kern w:val="0"/>
          <w:sz w:val="24"/>
          <w:szCs w:val="24"/>
          <w:highlight w:val="none"/>
          <w:lang w:val="en-US" w:eastAsia="zh-CN" w:bidi="ar-SA"/>
        </w:rPr>
        <w:t>杭银理财有限责任公司</w:t>
      </w:r>
    </w:p>
    <w:p>
      <w:pPr>
        <w:rPr>
          <w:rFonts w:hint="eastAsia"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br w:type="page"/>
      </w:r>
    </w:p>
    <w:p>
      <w:pPr>
        <w:rPr>
          <w:rFonts w:hint="default"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t>本页为</w:t>
      </w:r>
      <w:r>
        <w:rPr>
          <w:rFonts w:hint="eastAsia" w:ascii="宋体" w:hAnsi="宋体" w:eastAsia="宋体" w:cs="黑体"/>
          <w:b w:val="0"/>
          <w:bCs w:val="0"/>
          <w:sz w:val="24"/>
          <w:szCs w:val="24"/>
          <w:highlight w:val="none"/>
        </w:rPr>
        <w:t>纸质</w:t>
      </w:r>
      <w:r>
        <w:rPr>
          <w:rFonts w:hint="eastAsia" w:ascii="宋体" w:hAnsi="宋体" w:eastAsia="宋体" w:cs="黑体"/>
          <w:b w:val="0"/>
          <w:bCs w:val="0"/>
          <w:sz w:val="24"/>
          <w:szCs w:val="24"/>
          <w:highlight w:val="none"/>
          <w:lang w:val="en-US" w:eastAsia="zh-CN"/>
        </w:rPr>
        <w:t>形式（如有）销售协议书签章页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r>
        <w:rPr>
          <w:rFonts w:hint="eastAsia" w:ascii="宋体" w:hAnsi="宋体" w:eastAsia="宋体" w:cs="黑体"/>
          <w:b/>
          <w:bCs/>
          <w:sz w:val="24"/>
          <w:highlight w:val="none"/>
        </w:rPr>
        <w:t>投资者</w:t>
      </w:r>
      <w:r>
        <w:rPr>
          <w:rFonts w:hint="eastAsia" w:ascii="宋体" w:hAnsi="宋体" w:eastAsia="宋体" w:cs="黑体"/>
          <w:b/>
          <w:bCs/>
          <w:sz w:val="24"/>
          <w:highlight w:val="none"/>
          <w:lang w:eastAsia="zh-CN"/>
        </w:rPr>
        <w:t>（</w:t>
      </w:r>
      <w:r>
        <w:rPr>
          <w:rFonts w:hint="eastAsia" w:ascii="宋体" w:hAnsi="宋体" w:eastAsia="宋体" w:cs="黑体"/>
          <w:b/>
          <w:bCs/>
          <w:sz w:val="24"/>
          <w:highlight w:val="none"/>
        </w:rPr>
        <w:t>签字</w:t>
      </w:r>
      <w:r>
        <w:rPr>
          <w:rFonts w:hint="eastAsia" w:ascii="宋体" w:hAnsi="宋体" w:eastAsia="宋体" w:cs="黑体"/>
          <w:b/>
          <w:bCs/>
          <w:sz w:val="24"/>
          <w:highlight w:val="none"/>
          <w:lang w:eastAsia="zh-CN"/>
        </w:rPr>
        <w:t>或签章）</w:t>
      </w:r>
      <w:r>
        <w:rPr>
          <w:rFonts w:hint="eastAsia" w:ascii="宋体" w:hAnsi="宋体" w:eastAsia="宋体" w:cs="黑体"/>
          <w:b/>
          <w:bCs/>
          <w:sz w:val="24"/>
          <w:szCs w:val="24"/>
          <w:highlight w:val="none"/>
          <w:lang w:eastAsia="zh-CN"/>
        </w:rPr>
        <w:t>：</w:t>
      </w: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r>
        <w:rPr>
          <w:rFonts w:hint="eastAsia" w:ascii="宋体" w:hAnsi="宋体" w:eastAsia="宋体" w:cs="黑体"/>
          <w:b/>
          <w:bCs/>
          <w:sz w:val="24"/>
          <w:highlight w:val="none"/>
        </w:rPr>
        <w:t>销售机构签章</w:t>
      </w:r>
      <w:r>
        <w:rPr>
          <w:rFonts w:hint="eastAsia" w:ascii="宋体" w:hAnsi="宋体" w:eastAsia="宋体" w:cs="黑体"/>
          <w:b/>
          <w:bCs/>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spacing w:before="156" w:beforeLines="50" w:after="156" w:afterLines="50" w:line="360" w:lineRule="auto"/>
        <w:ind w:firstLine="4800" w:firstLineChars="2000"/>
        <w:jc w:val="right"/>
        <w:rPr>
          <w:rFonts w:ascii="宋体" w:hAnsi="宋体" w:cs="宋体"/>
          <w:bCs/>
          <w:color w:val="000000"/>
          <w:sz w:val="24"/>
        </w:rPr>
      </w:pPr>
      <w:r>
        <w:rPr>
          <w:rFonts w:hint="eastAsia" w:ascii="Arial" w:hAnsi="Arial"/>
          <w:sz w:val="24"/>
          <w:highlight w:val="none"/>
        </w:rPr>
        <w:t xml:space="preserve">   年   月   日</w:t>
      </w:r>
    </w:p>
    <w:p>
      <w:pPr>
        <w:spacing w:before="156" w:beforeLines="50" w:after="156" w:afterLines="50" w:line="360" w:lineRule="auto"/>
        <w:ind w:firstLine="0" w:firstLineChars="0"/>
        <w:jc w:val="center"/>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1">
    <w:nsid w:val="8493557F"/>
    <w:multiLevelType w:val="singleLevel"/>
    <w:tmpl w:val="8493557F"/>
    <w:lvl w:ilvl="0" w:tentative="0">
      <w:start w:val="2"/>
      <w:numFmt w:val="decimal"/>
      <w:suff w:val="nothing"/>
      <w:lvlText w:val="%1．"/>
      <w:lvlJc w:val="left"/>
      <w:pPr>
        <w:ind w:left="0" w:firstLine="403"/>
      </w:pPr>
      <w:rPr>
        <w:rFonts w:hint="default" w:ascii="宋体" w:hAnsi="宋体" w:eastAsia="宋体" w:cs="宋体"/>
        <w:b w:val="0"/>
        <w:bCs w:val="0"/>
      </w:rPr>
    </w:lvl>
  </w:abstractNum>
  <w:abstractNum w:abstractNumId="2">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
    <w:nsid w:val="8906C252"/>
    <w:multiLevelType w:val="singleLevel"/>
    <w:tmpl w:val="8906C252"/>
    <w:lvl w:ilvl="0" w:tentative="0">
      <w:start w:val="1"/>
      <w:numFmt w:val="decimal"/>
      <w:suff w:val="nothing"/>
      <w:lvlText w:val="（%1）"/>
      <w:lvlJc w:val="left"/>
      <w:rPr>
        <w:rFonts w:hint="default"/>
        <w:b w:val="0"/>
        <w:bCs w:val="0"/>
      </w:rPr>
    </w:lvl>
  </w:abstractNum>
  <w:abstractNum w:abstractNumId="4">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5">
    <w:nsid w:val="8CBA9D88"/>
    <w:multiLevelType w:val="singleLevel"/>
    <w:tmpl w:val="8CBA9D88"/>
    <w:lvl w:ilvl="0" w:tentative="0">
      <w:start w:val="1"/>
      <w:numFmt w:val="decimal"/>
      <w:suff w:val="nothing"/>
      <w:lvlText w:val="%1．"/>
      <w:lvlJc w:val="left"/>
      <w:pPr>
        <w:ind w:left="0" w:firstLine="400"/>
      </w:pPr>
      <w:rPr>
        <w:rFonts w:hint="default" w:ascii="宋体" w:hAnsi="宋体" w:eastAsia="宋体" w:cs="宋体"/>
      </w:rPr>
    </w:lvl>
  </w:abstractNum>
  <w:abstractNum w:abstractNumId="6">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7">
    <w:nsid w:val="8D2AB5FD"/>
    <w:multiLevelType w:val="singleLevel"/>
    <w:tmpl w:val="8D2AB5FD"/>
    <w:lvl w:ilvl="0" w:tentative="0">
      <w:start w:val="1"/>
      <w:numFmt w:val="chineseCounting"/>
      <w:suff w:val="nothing"/>
      <w:lvlText w:val="（%1）"/>
      <w:lvlJc w:val="left"/>
      <w:pPr>
        <w:ind w:left="0" w:firstLine="420"/>
      </w:pPr>
      <w:rPr>
        <w:rFonts w:hint="eastAsia"/>
      </w:rPr>
    </w:lvl>
  </w:abstractNum>
  <w:abstractNum w:abstractNumId="8">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9">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10">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1">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2">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3">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4">
    <w:nsid w:val="AC40BB97"/>
    <w:multiLevelType w:val="singleLevel"/>
    <w:tmpl w:val="AC40BB97"/>
    <w:lvl w:ilvl="0" w:tentative="0">
      <w:start w:val="1"/>
      <w:numFmt w:val="chineseCounting"/>
      <w:suff w:val="nothing"/>
      <w:lvlText w:val="%1、"/>
      <w:lvlJc w:val="left"/>
      <w:rPr>
        <w:rFonts w:hint="eastAsia"/>
      </w:rPr>
    </w:lvl>
  </w:abstractNum>
  <w:abstractNum w:abstractNumId="15">
    <w:nsid w:val="AF5FAE6B"/>
    <w:multiLevelType w:val="singleLevel"/>
    <w:tmpl w:val="AF5FAE6B"/>
    <w:lvl w:ilvl="0" w:tentative="0">
      <w:start w:val="1"/>
      <w:numFmt w:val="chineseCounting"/>
      <w:suff w:val="nothing"/>
      <w:lvlText w:val="（%1）"/>
      <w:lvlJc w:val="left"/>
      <w:pPr>
        <w:ind w:left="0" w:firstLine="420"/>
      </w:pPr>
      <w:rPr>
        <w:rFonts w:hint="eastAsia"/>
      </w:rPr>
    </w:lvl>
  </w:abstractNum>
  <w:abstractNum w:abstractNumId="16">
    <w:nsid w:val="B08226EF"/>
    <w:multiLevelType w:val="singleLevel"/>
    <w:tmpl w:val="B08226EF"/>
    <w:lvl w:ilvl="0" w:tentative="0">
      <w:start w:val="1"/>
      <w:numFmt w:val="chineseCounting"/>
      <w:suff w:val="space"/>
      <w:lvlText w:val="第%1条"/>
      <w:lvlJc w:val="left"/>
      <w:rPr>
        <w:rFonts w:hint="eastAsia"/>
      </w:rPr>
    </w:lvl>
  </w:abstractNum>
  <w:abstractNum w:abstractNumId="17">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8">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19">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20">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21">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2">
    <w:nsid w:val="D8D75090"/>
    <w:multiLevelType w:val="singleLevel"/>
    <w:tmpl w:val="D8D75090"/>
    <w:lvl w:ilvl="0" w:tentative="0">
      <w:start w:val="1"/>
      <w:numFmt w:val="decimal"/>
      <w:suff w:val="nothing"/>
      <w:lvlText w:val="（%1）"/>
      <w:lvlJc w:val="left"/>
      <w:rPr>
        <w:rFonts w:hint="default"/>
        <w:b w:val="0"/>
        <w:bCs w:val="0"/>
      </w:rPr>
    </w:lvl>
  </w:abstractNum>
  <w:abstractNum w:abstractNumId="23">
    <w:nsid w:val="DD2251DF"/>
    <w:multiLevelType w:val="singleLevel"/>
    <w:tmpl w:val="DD2251DF"/>
    <w:lvl w:ilvl="0" w:tentative="0">
      <w:start w:val="1"/>
      <w:numFmt w:val="decimal"/>
      <w:suff w:val="nothing"/>
      <w:lvlText w:val="（%1）"/>
      <w:lvlJc w:val="left"/>
      <w:rPr>
        <w:rFonts w:hint="default"/>
        <w:b w:val="0"/>
        <w:bCs w:val="0"/>
      </w:rPr>
    </w:lvl>
  </w:abstractNum>
  <w:abstractNum w:abstractNumId="24">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25">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26">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27">
    <w:nsid w:val="F574F5B6"/>
    <w:multiLevelType w:val="singleLevel"/>
    <w:tmpl w:val="F574F5B6"/>
    <w:lvl w:ilvl="0" w:tentative="0">
      <w:start w:val="1"/>
      <w:numFmt w:val="decimal"/>
      <w:suff w:val="nothing"/>
      <w:lvlText w:val="（%1）"/>
      <w:lvlJc w:val="left"/>
    </w:lvl>
  </w:abstractNum>
  <w:abstractNum w:abstractNumId="28">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29">
    <w:nsid w:val="FE7FCF71"/>
    <w:multiLevelType w:val="multilevel"/>
    <w:tmpl w:val="FE7FCF71"/>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0">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31">
    <w:nsid w:val="084A6179"/>
    <w:multiLevelType w:val="singleLevel"/>
    <w:tmpl w:val="084A6179"/>
    <w:lvl w:ilvl="0" w:tentative="0">
      <w:start w:val="1"/>
      <w:numFmt w:val="decimal"/>
      <w:suff w:val="nothing"/>
      <w:lvlText w:val="（%1）"/>
      <w:lvlJc w:val="left"/>
      <w:rPr>
        <w:rFonts w:hint="default"/>
        <w:highlight w:val="none"/>
      </w:rPr>
    </w:lvl>
  </w:abstractNum>
  <w:abstractNum w:abstractNumId="32">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3">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34">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35">
    <w:nsid w:val="167B0BB4"/>
    <w:multiLevelType w:val="singleLevel"/>
    <w:tmpl w:val="167B0BB4"/>
    <w:lvl w:ilvl="0" w:tentative="0">
      <w:start w:val="1"/>
      <w:numFmt w:val="decimal"/>
      <w:suff w:val="nothing"/>
      <w:lvlText w:val="（%1）"/>
      <w:lvlJc w:val="left"/>
    </w:lvl>
  </w:abstractNum>
  <w:abstractNum w:abstractNumId="36">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7">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38">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39">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40">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41">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42">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43">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44">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45">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46">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47">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48">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49">
    <w:nsid w:val="597D161E"/>
    <w:multiLevelType w:val="multilevel"/>
    <w:tmpl w:val="597D161E"/>
    <w:lvl w:ilvl="0" w:tentative="0">
      <w:start w:val="1"/>
      <w:numFmt w:val="chineseCounting"/>
      <w:suff w:val="nothing"/>
      <w:lvlText w:val="（%1）"/>
      <w:lvlJc w:val="left"/>
      <w:pPr>
        <w:ind w:left="0" w:firstLine="42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0">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51">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52">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53">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54">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55">
    <w:nsid w:val="60C03933"/>
    <w:multiLevelType w:val="singleLevel"/>
    <w:tmpl w:val="60C03933"/>
    <w:lvl w:ilvl="0" w:tentative="0">
      <w:start w:val="1"/>
      <w:numFmt w:val="chineseCounting"/>
      <w:suff w:val="nothing"/>
      <w:lvlText w:val="（%1）"/>
      <w:lvlJc w:val="left"/>
      <w:pPr>
        <w:ind w:left="0" w:firstLine="420"/>
      </w:pPr>
      <w:rPr>
        <w:rFonts w:hint="eastAsia"/>
      </w:rPr>
    </w:lvl>
  </w:abstractNum>
  <w:abstractNum w:abstractNumId="56">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57">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58">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59">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60">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61">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62">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63">
    <w:nsid w:val="60C03F4B"/>
    <w:multiLevelType w:val="singleLevel"/>
    <w:tmpl w:val="60C03F4B"/>
    <w:lvl w:ilvl="0" w:tentative="0">
      <w:start w:val="1"/>
      <w:numFmt w:val="chineseCounting"/>
      <w:suff w:val="nothing"/>
      <w:lvlText w:val="（%1）"/>
      <w:lvlJc w:val="left"/>
      <w:pPr>
        <w:ind w:left="0" w:firstLine="420"/>
      </w:pPr>
      <w:rPr>
        <w:rFonts w:hint="eastAsia"/>
      </w:rPr>
    </w:lvl>
  </w:abstractNum>
  <w:abstractNum w:abstractNumId="64">
    <w:nsid w:val="61CBC088"/>
    <w:multiLevelType w:val="singleLevel"/>
    <w:tmpl w:val="61CBC088"/>
    <w:lvl w:ilvl="0" w:tentative="0">
      <w:start w:val="1"/>
      <w:numFmt w:val="chineseCounting"/>
      <w:suff w:val="nothing"/>
      <w:lvlText w:val="（%1）"/>
      <w:lvlJc w:val="left"/>
      <w:pPr>
        <w:ind w:left="0" w:firstLine="420"/>
      </w:pPr>
      <w:rPr>
        <w:rFonts w:hint="eastAsia"/>
        <w:b w:val="0"/>
        <w:bCs w:val="0"/>
      </w:rPr>
    </w:lvl>
  </w:abstractNum>
  <w:abstractNum w:abstractNumId="65">
    <w:nsid w:val="61CBC11F"/>
    <w:multiLevelType w:val="singleLevel"/>
    <w:tmpl w:val="61CBC11F"/>
    <w:lvl w:ilvl="0" w:tentative="0">
      <w:start w:val="1"/>
      <w:numFmt w:val="chineseCounting"/>
      <w:suff w:val="nothing"/>
      <w:lvlText w:val="（%1）"/>
      <w:lvlJc w:val="left"/>
      <w:pPr>
        <w:ind w:left="0" w:firstLine="420"/>
      </w:pPr>
      <w:rPr>
        <w:rFonts w:hint="eastAsia"/>
      </w:rPr>
    </w:lvl>
  </w:abstractNum>
  <w:abstractNum w:abstractNumId="66">
    <w:nsid w:val="61CBC1A0"/>
    <w:multiLevelType w:val="singleLevel"/>
    <w:tmpl w:val="61CBC1A0"/>
    <w:lvl w:ilvl="0" w:tentative="0">
      <w:start w:val="1"/>
      <w:numFmt w:val="chineseCounting"/>
      <w:suff w:val="nothing"/>
      <w:lvlText w:val="（%1）"/>
      <w:lvlJc w:val="left"/>
      <w:pPr>
        <w:ind w:left="0" w:firstLine="420"/>
      </w:pPr>
      <w:rPr>
        <w:rFonts w:hint="eastAsia"/>
      </w:rPr>
    </w:lvl>
  </w:abstractNum>
  <w:abstractNum w:abstractNumId="67">
    <w:nsid w:val="61CBC209"/>
    <w:multiLevelType w:val="singleLevel"/>
    <w:tmpl w:val="61CBC209"/>
    <w:lvl w:ilvl="0" w:tentative="0">
      <w:start w:val="1"/>
      <w:numFmt w:val="chineseCounting"/>
      <w:suff w:val="nothing"/>
      <w:lvlText w:val="（%1）"/>
      <w:lvlJc w:val="left"/>
      <w:pPr>
        <w:ind w:left="0" w:firstLine="420"/>
      </w:pPr>
      <w:rPr>
        <w:rFonts w:hint="eastAsia"/>
      </w:rPr>
    </w:lvl>
  </w:abstractNum>
  <w:abstractNum w:abstractNumId="68">
    <w:nsid w:val="61CBC248"/>
    <w:multiLevelType w:val="singleLevel"/>
    <w:tmpl w:val="61CBC248"/>
    <w:lvl w:ilvl="0" w:tentative="0">
      <w:start w:val="2"/>
      <w:numFmt w:val="chineseCounting"/>
      <w:suff w:val="nothing"/>
      <w:lvlText w:val="（%1）"/>
      <w:lvlJc w:val="left"/>
      <w:pPr>
        <w:ind w:left="0" w:firstLine="420"/>
      </w:pPr>
      <w:rPr>
        <w:rFonts w:hint="eastAsia"/>
      </w:rPr>
    </w:lvl>
  </w:abstractNum>
  <w:abstractNum w:abstractNumId="69">
    <w:nsid w:val="61CBC28E"/>
    <w:multiLevelType w:val="singleLevel"/>
    <w:tmpl w:val="61CBC28E"/>
    <w:lvl w:ilvl="0" w:tentative="0">
      <w:start w:val="1"/>
      <w:numFmt w:val="chineseCounting"/>
      <w:suff w:val="nothing"/>
      <w:lvlText w:val="（%1）"/>
      <w:lvlJc w:val="left"/>
      <w:pPr>
        <w:ind w:left="0" w:firstLine="420"/>
      </w:pPr>
      <w:rPr>
        <w:rFonts w:hint="eastAsia"/>
      </w:rPr>
    </w:lvl>
  </w:abstractNum>
  <w:abstractNum w:abstractNumId="70">
    <w:nsid w:val="68F6C37C"/>
    <w:multiLevelType w:val="singleLevel"/>
    <w:tmpl w:val="68F6C37C"/>
    <w:lvl w:ilvl="0" w:tentative="0">
      <w:start w:val="1"/>
      <w:numFmt w:val="decimal"/>
      <w:lvlText w:val="%1."/>
      <w:lvlJc w:val="left"/>
      <w:pPr>
        <w:tabs>
          <w:tab w:val="left" w:pos="312"/>
        </w:tabs>
      </w:pPr>
      <w:rPr>
        <w:rFonts w:hint="default"/>
        <w:highlight w:val="none"/>
      </w:rPr>
    </w:lvl>
  </w:abstractNum>
  <w:abstractNum w:abstractNumId="71">
    <w:nsid w:val="6BA7AFBC"/>
    <w:multiLevelType w:val="singleLevel"/>
    <w:tmpl w:val="6BA7AFBC"/>
    <w:lvl w:ilvl="0" w:tentative="0">
      <w:start w:val="1"/>
      <w:numFmt w:val="chineseCounting"/>
      <w:suff w:val="nothing"/>
      <w:lvlText w:val="（%1）"/>
      <w:lvlJc w:val="left"/>
      <w:pPr>
        <w:ind w:left="0" w:firstLine="420"/>
      </w:pPr>
      <w:rPr>
        <w:rFonts w:hint="eastAsia"/>
      </w:rPr>
    </w:lvl>
  </w:abstractNum>
  <w:abstractNum w:abstractNumId="72">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73">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4"/>
  </w:num>
  <w:num w:numId="2">
    <w:abstractNumId w:val="0"/>
  </w:num>
  <w:num w:numId="3">
    <w:abstractNumId w:val="42"/>
  </w:num>
  <w:num w:numId="4">
    <w:abstractNumId w:val="37"/>
  </w:num>
  <w:num w:numId="5">
    <w:abstractNumId w:val="49"/>
  </w:num>
  <w:num w:numId="6">
    <w:abstractNumId w:val="72"/>
  </w:num>
  <w:num w:numId="7">
    <w:abstractNumId w:val="32"/>
  </w:num>
  <w:num w:numId="8">
    <w:abstractNumId w:val="73"/>
  </w:num>
  <w:num w:numId="9">
    <w:abstractNumId w:val="47"/>
  </w:num>
  <w:num w:numId="10">
    <w:abstractNumId w:val="44"/>
  </w:num>
  <w:num w:numId="11">
    <w:abstractNumId w:val="28"/>
  </w:num>
  <w:num w:numId="12">
    <w:abstractNumId w:val="26"/>
  </w:num>
  <w:num w:numId="13">
    <w:abstractNumId w:val="33"/>
  </w:num>
  <w:num w:numId="14">
    <w:abstractNumId w:val="25"/>
  </w:num>
  <w:num w:numId="15">
    <w:abstractNumId w:val="20"/>
  </w:num>
  <w:num w:numId="16">
    <w:abstractNumId w:val="11"/>
  </w:num>
  <w:num w:numId="17">
    <w:abstractNumId w:val="17"/>
  </w:num>
  <w:num w:numId="18">
    <w:abstractNumId w:val="8"/>
  </w:num>
  <w:num w:numId="19">
    <w:abstractNumId w:val="9"/>
  </w:num>
  <w:num w:numId="20">
    <w:abstractNumId w:val="7"/>
  </w:num>
  <w:num w:numId="21">
    <w:abstractNumId w:val="70"/>
  </w:num>
  <w:num w:numId="22">
    <w:abstractNumId w:val="5"/>
  </w:num>
  <w:num w:numId="23">
    <w:abstractNumId w:val="1"/>
  </w:num>
  <w:num w:numId="24">
    <w:abstractNumId w:val="43"/>
  </w:num>
  <w:num w:numId="25">
    <w:abstractNumId w:val="27"/>
  </w:num>
  <w:num w:numId="26">
    <w:abstractNumId w:val="19"/>
  </w:num>
  <w:num w:numId="27">
    <w:abstractNumId w:val="38"/>
  </w:num>
  <w:num w:numId="28">
    <w:abstractNumId w:val="21"/>
  </w:num>
  <w:num w:numId="29">
    <w:abstractNumId w:val="6"/>
  </w:num>
  <w:num w:numId="30">
    <w:abstractNumId w:val="46"/>
  </w:num>
  <w:num w:numId="31">
    <w:abstractNumId w:val="4"/>
  </w:num>
  <w:num w:numId="32">
    <w:abstractNumId w:val="31"/>
  </w:num>
  <w:num w:numId="33">
    <w:abstractNumId w:val="36"/>
  </w:num>
  <w:num w:numId="34">
    <w:abstractNumId w:val="71"/>
  </w:num>
  <w:num w:numId="35">
    <w:abstractNumId w:val="30"/>
  </w:num>
  <w:num w:numId="36">
    <w:abstractNumId w:val="23"/>
  </w:num>
  <w:num w:numId="37">
    <w:abstractNumId w:val="41"/>
  </w:num>
  <w:num w:numId="38">
    <w:abstractNumId w:val="2"/>
  </w:num>
  <w:num w:numId="39">
    <w:abstractNumId w:val="24"/>
  </w:num>
  <w:num w:numId="40">
    <w:abstractNumId w:val="29"/>
  </w:num>
  <w:num w:numId="41">
    <w:abstractNumId w:val="45"/>
  </w:num>
  <w:num w:numId="42">
    <w:abstractNumId w:val="34"/>
  </w:num>
  <w:num w:numId="43">
    <w:abstractNumId w:val="18"/>
  </w:num>
  <w:num w:numId="44">
    <w:abstractNumId w:val="48"/>
  </w:num>
  <w:num w:numId="45">
    <w:abstractNumId w:val="12"/>
  </w:num>
  <w:num w:numId="46">
    <w:abstractNumId w:val="10"/>
  </w:num>
  <w:num w:numId="47">
    <w:abstractNumId w:val="13"/>
  </w:num>
  <w:num w:numId="48">
    <w:abstractNumId w:val="35"/>
  </w:num>
  <w:num w:numId="49">
    <w:abstractNumId w:val="22"/>
  </w:num>
  <w:num w:numId="50">
    <w:abstractNumId w:val="3"/>
  </w:num>
  <w:num w:numId="51">
    <w:abstractNumId w:val="40"/>
  </w:num>
  <w:num w:numId="52">
    <w:abstractNumId w:val="57"/>
  </w:num>
  <w:num w:numId="53">
    <w:abstractNumId w:val="56"/>
  </w:num>
  <w:num w:numId="54">
    <w:abstractNumId w:val="58"/>
  </w:num>
  <w:num w:numId="55">
    <w:abstractNumId w:val="59"/>
  </w:num>
  <w:num w:numId="56">
    <w:abstractNumId w:val="60"/>
  </w:num>
  <w:num w:numId="57">
    <w:abstractNumId w:val="61"/>
  </w:num>
  <w:num w:numId="58">
    <w:abstractNumId w:val="62"/>
  </w:num>
  <w:num w:numId="59">
    <w:abstractNumId w:val="63"/>
  </w:num>
  <w:num w:numId="60">
    <w:abstractNumId w:val="39"/>
  </w:num>
  <w:num w:numId="61">
    <w:abstractNumId w:val="16"/>
  </w:num>
  <w:num w:numId="62">
    <w:abstractNumId w:val="50"/>
  </w:num>
  <w:num w:numId="63">
    <w:abstractNumId w:val="51"/>
  </w:num>
  <w:num w:numId="64">
    <w:abstractNumId w:val="52"/>
  </w:num>
  <w:num w:numId="65">
    <w:abstractNumId w:val="53"/>
  </w:num>
  <w:num w:numId="66">
    <w:abstractNumId w:val="54"/>
  </w:num>
  <w:num w:numId="67">
    <w:abstractNumId w:val="55"/>
  </w:num>
  <w:num w:numId="68">
    <w:abstractNumId w:val="64"/>
  </w:num>
  <w:num w:numId="69">
    <w:abstractNumId w:val="65"/>
  </w:num>
  <w:num w:numId="70">
    <w:abstractNumId w:val="15"/>
  </w:num>
  <w:num w:numId="71">
    <w:abstractNumId w:val="66"/>
  </w:num>
  <w:num w:numId="72">
    <w:abstractNumId w:val="67"/>
  </w:num>
  <w:num w:numId="73">
    <w:abstractNumId w:val="68"/>
  </w:num>
  <w:num w:numId="74">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6FD5D01"/>
    <w:rsid w:val="377307FA"/>
    <w:rsid w:val="394B6E53"/>
    <w:rsid w:val="3B1C12F3"/>
    <w:rsid w:val="3BD53B5C"/>
    <w:rsid w:val="3CC57F13"/>
    <w:rsid w:val="3D4C282D"/>
    <w:rsid w:val="3D970F4E"/>
    <w:rsid w:val="3DE106C6"/>
    <w:rsid w:val="3E540971"/>
    <w:rsid w:val="3E786275"/>
    <w:rsid w:val="3E931F0D"/>
    <w:rsid w:val="3F7E2660"/>
    <w:rsid w:val="3FA31FDD"/>
    <w:rsid w:val="3FBF6D08"/>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CC51C60"/>
    <w:rsid w:val="4D3204EA"/>
    <w:rsid w:val="4D697EB1"/>
    <w:rsid w:val="4D7EE1B8"/>
    <w:rsid w:val="4DFF95C2"/>
    <w:rsid w:val="4E08799D"/>
    <w:rsid w:val="4E2B414A"/>
    <w:rsid w:val="4F5679CC"/>
    <w:rsid w:val="501840BA"/>
    <w:rsid w:val="52B042C0"/>
    <w:rsid w:val="53827B5D"/>
    <w:rsid w:val="53E86B53"/>
    <w:rsid w:val="54D66C67"/>
    <w:rsid w:val="54ED47F2"/>
    <w:rsid w:val="568633C7"/>
    <w:rsid w:val="57061882"/>
    <w:rsid w:val="57280BF2"/>
    <w:rsid w:val="57CFCB0F"/>
    <w:rsid w:val="57FE8B5E"/>
    <w:rsid w:val="582C3B01"/>
    <w:rsid w:val="582D059F"/>
    <w:rsid w:val="582D396D"/>
    <w:rsid w:val="59083CAE"/>
    <w:rsid w:val="592570E8"/>
    <w:rsid w:val="59435FE6"/>
    <w:rsid w:val="59480030"/>
    <w:rsid w:val="59A3360E"/>
    <w:rsid w:val="5ADE2855"/>
    <w:rsid w:val="5ADF8627"/>
    <w:rsid w:val="5B056CAE"/>
    <w:rsid w:val="5C664A4B"/>
    <w:rsid w:val="5CE67D31"/>
    <w:rsid w:val="5E5F4050"/>
    <w:rsid w:val="5F04726A"/>
    <w:rsid w:val="5F6D37D2"/>
    <w:rsid w:val="5F9C081D"/>
    <w:rsid w:val="5FED5180"/>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BDE71F2"/>
    <w:rsid w:val="6C9577EB"/>
    <w:rsid w:val="6CBA3A99"/>
    <w:rsid w:val="6D3A1203"/>
    <w:rsid w:val="6DFE35A5"/>
    <w:rsid w:val="6E9C369D"/>
    <w:rsid w:val="6EF41B11"/>
    <w:rsid w:val="6FF79273"/>
    <w:rsid w:val="702573F3"/>
    <w:rsid w:val="70B57531"/>
    <w:rsid w:val="70FA499F"/>
    <w:rsid w:val="730C182D"/>
    <w:rsid w:val="73FC9A3F"/>
    <w:rsid w:val="751974A1"/>
    <w:rsid w:val="758B30E4"/>
    <w:rsid w:val="75F42331"/>
    <w:rsid w:val="761F7C3C"/>
    <w:rsid w:val="76683D2A"/>
    <w:rsid w:val="76C62D9E"/>
    <w:rsid w:val="776675B1"/>
    <w:rsid w:val="78244617"/>
    <w:rsid w:val="784E214D"/>
    <w:rsid w:val="7A923507"/>
    <w:rsid w:val="7AAFF850"/>
    <w:rsid w:val="7ACB640D"/>
    <w:rsid w:val="7BFF1A29"/>
    <w:rsid w:val="7C044D89"/>
    <w:rsid w:val="7C63442B"/>
    <w:rsid w:val="7D3AA22F"/>
    <w:rsid w:val="7D9F2F3F"/>
    <w:rsid w:val="7DE35ECA"/>
    <w:rsid w:val="7E1A0C5A"/>
    <w:rsid w:val="7E3212D3"/>
    <w:rsid w:val="7E7F7BE9"/>
    <w:rsid w:val="7F5F887D"/>
    <w:rsid w:val="7F9FC635"/>
    <w:rsid w:val="7FCC7D05"/>
    <w:rsid w:val="7FEF42B8"/>
    <w:rsid w:val="7FEFE414"/>
    <w:rsid w:val="7FF9B1F6"/>
    <w:rsid w:val="9FD01BC3"/>
    <w:rsid w:val="9FDF7357"/>
    <w:rsid w:val="B3FE25BF"/>
    <w:rsid w:val="BE6E0F8F"/>
    <w:rsid w:val="C679D4D5"/>
    <w:rsid w:val="C7EFAC2C"/>
    <w:rsid w:val="CFBD1285"/>
    <w:rsid w:val="D3FFF2E3"/>
    <w:rsid w:val="D4B948F0"/>
    <w:rsid w:val="D7BE90C3"/>
    <w:rsid w:val="DFFBF81E"/>
    <w:rsid w:val="E2F2C526"/>
    <w:rsid w:val="E7F7B356"/>
    <w:rsid w:val="F3F331A4"/>
    <w:rsid w:val="F3FF81F7"/>
    <w:rsid w:val="F6D74091"/>
    <w:rsid w:val="F7FE62B6"/>
    <w:rsid w:val="FA543BA3"/>
    <w:rsid w:val="FD7F9463"/>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alloon Text"/>
    <w:basedOn w:val="1"/>
    <w:link w:val="2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qFormat/>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character" w:customStyle="1" w:styleId="13">
    <w:name w:val="批注文字 字符"/>
    <w:link w:val="2"/>
    <w:uiPriority w:val="0"/>
    <w:rPr>
      <w:rFonts w:ascii="Calibri" w:hAnsi="Calibri" w:cs="黑体"/>
      <w:kern w:val="2"/>
      <w:sz w:val="21"/>
      <w:szCs w:val="24"/>
    </w:rPr>
  </w:style>
  <w:style w:type="character" w:customStyle="1" w:styleId="14">
    <w:name w:val="批注框文本 字符"/>
    <w:link w:val="3"/>
    <w:uiPriority w:val="0"/>
    <w:rPr>
      <w:rFonts w:ascii="Calibri" w:hAnsi="Calibri" w:cs="黑体"/>
      <w:kern w:val="2"/>
      <w:sz w:val="18"/>
      <w:szCs w:val="18"/>
    </w:rPr>
  </w:style>
  <w:style w:type="character" w:customStyle="1" w:styleId="15">
    <w:name w:val="批注主题 字符"/>
    <w:link w:val="7"/>
    <w:uiPriority w:val="0"/>
    <w:rPr>
      <w:rFonts w:ascii="Calibri" w:hAnsi="Calibri" w:cs="黑体"/>
      <w:b/>
      <w:bCs/>
      <w:kern w:val="2"/>
      <w:sz w:val="21"/>
      <w:szCs w:val="24"/>
    </w:rPr>
  </w:style>
  <w:style w:type="paragraph" w:customStyle="1" w:styleId="16">
    <w:name w:val="List Paragraph"/>
    <w:basedOn w:val="1"/>
    <w:unhideWhenUsed/>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qFormat/>
    <w:uiPriority w:val="0"/>
    <w:rPr>
      <w:rFonts w:ascii="Calibri" w:hAnsi="Calibri" w:cs="黑体"/>
      <w:kern w:val="2"/>
      <w:sz w:val="21"/>
      <w:szCs w:val="24"/>
    </w:rPr>
  </w:style>
  <w:style w:type="character" w:customStyle="1" w:styleId="19">
    <w:name w:val="批注主题 Char"/>
    <w:link w:val="7"/>
    <w:uiPriority w:val="0"/>
    <w:rPr>
      <w:rFonts w:ascii="Calibri" w:hAnsi="Calibri" w:cs="黑体"/>
      <w:b/>
      <w:bCs/>
      <w:kern w:val="2"/>
      <w:sz w:val="21"/>
      <w:szCs w:val="24"/>
    </w:rPr>
  </w:style>
  <w:style w:type="character" w:customStyle="1" w:styleId="20">
    <w:name w:val="批注框文本 Char"/>
    <w:link w:val="3"/>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38807</Words>
  <Characters>41826</Characters>
  <Lines>1</Lines>
  <Paragraphs>1</Paragraphs>
  <TotalTime>0</TotalTime>
  <ScaleCrop>false</ScaleCrop>
  <LinksUpToDate>false</LinksUpToDate>
  <CharactersWithSpaces>42337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2014-11-04T12:08:00Z</dcterms:created>
  <dc:creator>Administrator</dc:creator>
  <cp:lastModifiedBy>hccb</cp:lastModifiedBy>
  <dcterms:modified xsi:type="dcterms:W3CDTF">2025-12-08T07:40:51Z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A70A2227A99B4340974191B47870DEF5</vt:lpwstr>
  </property>
</Properties>
</file>