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p>
    <w:p>
      <w:pPr>
        <w:bidi w:val="0"/>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幸福99添益(安享优选)7天持有期8期理财</w:t>
      </w:r>
      <w:r>
        <w:rPr>
          <w:rFonts w:hint="eastAsia" w:ascii="宋体" w:hAnsi="宋体" w:eastAsia="宋体" w:cs="宋体"/>
          <w:b/>
          <w:bCs/>
          <w:color w:val="000000" w:themeColor="text1"/>
          <w:sz w:val="44"/>
          <w:szCs w:val="44"/>
          <w:highlight w:val="none"/>
          <w14:textFill>
            <w14:solidFill>
              <w14:schemeClr w14:val="tx1"/>
            </w14:solidFill>
          </w14:textFill>
        </w:rPr>
        <w:t>合同</w:t>
      </w: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理财计划管理人：杭银理财有限责任公司</w:t>
      </w:r>
    </w:p>
    <w:p>
      <w:pPr>
        <w:ind w:firstLine="1280" w:firstLineChars="400"/>
        <w:jc w:val="lef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理财计划托管人：杭州银行股份有限公司</w:t>
      </w: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pStyle w:val="2"/>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幸福99添益(安享优选)7天持有期8期理财</w:t>
      </w:r>
      <w:r>
        <w:rPr>
          <w:rFonts w:hint="eastAsia" w:ascii="宋体" w:hAnsi="宋体" w:eastAsia="宋体" w:cs="宋体"/>
          <w:color w:val="000000" w:themeColor="text1"/>
          <w:highlight w:val="none"/>
          <w:lang w:val="en-US" w:eastAsia="zh-CN"/>
          <w14:textFill>
            <w14:solidFill>
              <w14:schemeClr w14:val="tx1"/>
            </w14:solidFill>
          </w14:textFill>
        </w:rPr>
        <w:t>合同文件</w:t>
      </w:r>
    </w:p>
    <w:p>
      <w:pPr>
        <w:jc w:val="both"/>
        <w:rPr>
          <w:rFonts w:hint="eastAsia" w:ascii="宋体" w:hAnsi="宋体" w:cs="宋体"/>
          <w:color w:val="000000" w:themeColor="text1"/>
          <w:sz w:val="44"/>
          <w:szCs w:val="44"/>
          <w:highlight w:val="none"/>
          <w:lang w:val="en-US" w:eastAsia="zh-CN"/>
          <w14:textFill>
            <w14:solidFill>
              <w14:schemeClr w14:val="tx1"/>
            </w14:solidFill>
          </w14:textFill>
        </w:rPr>
      </w:pPr>
    </w:p>
    <w:p>
      <w:pPr>
        <w:jc w:val="both"/>
        <w:rPr>
          <w:rFonts w:hint="eastAsia" w:ascii="宋体" w:hAnsi="宋体" w:cs="宋体"/>
          <w:color w:val="000000" w:themeColor="text1"/>
          <w:sz w:val="44"/>
          <w:szCs w:val="44"/>
          <w:highlight w:val="none"/>
          <w:lang w:val="en-US" w:eastAsia="zh-CN"/>
          <w14:textFill>
            <w14:solidFill>
              <w14:schemeClr w14:val="tx1"/>
            </w14:solidFill>
          </w14:textFill>
        </w:rPr>
      </w:pPr>
    </w:p>
    <w:tbl>
      <w:tblPr>
        <w:tblStyle w:val="12"/>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26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序号</w:t>
            </w:r>
          </w:p>
        </w:tc>
        <w:tc>
          <w:tcPr>
            <w:tcW w:w="5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理财计划合同文件中的文件名称</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w:t>
            </w:r>
          </w:p>
        </w:tc>
        <w:tc>
          <w:tcPr>
            <w:tcW w:w="5266" w:type="dxa"/>
            <w:noWrap w:val="0"/>
            <w:vAlign w:val="center"/>
          </w:tcPr>
          <w:p>
            <w:pPr>
              <w:spacing w:line="360" w:lineRule="auto"/>
              <w:jc w:val="left"/>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幸福99添益(安享优选)7天持有期8期理财风险揭示书</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w:t>
            </w:r>
          </w:p>
        </w:tc>
        <w:tc>
          <w:tcPr>
            <w:tcW w:w="5266" w:type="dxa"/>
            <w:noWrap w:val="0"/>
            <w:vAlign w:val="center"/>
          </w:tcPr>
          <w:p>
            <w:pPr>
              <w:spacing w:line="360" w:lineRule="auto"/>
              <w:jc w:val="left"/>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幸福99添益(安享优选)7天持有期8期理财产品说明书</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3</w:t>
            </w:r>
          </w:p>
        </w:tc>
        <w:tc>
          <w:tcPr>
            <w:tcW w:w="5266" w:type="dxa"/>
            <w:noWrap w:val="0"/>
            <w:vAlign w:val="center"/>
          </w:tcPr>
          <w:p>
            <w:pPr>
              <w:spacing w:line="360" w:lineRule="auto"/>
              <w:jc w:val="left"/>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杭银理财投资者权益须知</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w:t>
            </w:r>
          </w:p>
        </w:tc>
        <w:tc>
          <w:tcPr>
            <w:tcW w:w="5266" w:type="dxa"/>
            <w:noWrap w:val="0"/>
            <w:vAlign w:val="center"/>
          </w:tcPr>
          <w:p>
            <w:pPr>
              <w:spacing w:line="360" w:lineRule="auto"/>
              <w:jc w:val="left"/>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杭银理财理财计划投资协议书</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noWrap w:val="0"/>
            <w:vAlign w:val="center"/>
          </w:tcPr>
          <w:p>
            <w:pPr>
              <w:spacing w:line="360" w:lineRule="auto"/>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w:t>
            </w:r>
          </w:p>
        </w:tc>
        <w:tc>
          <w:tcPr>
            <w:tcW w:w="5266" w:type="dxa"/>
            <w:noWrap w:val="0"/>
            <w:vAlign w:val="center"/>
          </w:tcPr>
          <w:p>
            <w:pPr>
              <w:spacing w:line="360" w:lineRule="auto"/>
              <w:jc w:val="left"/>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杭银理财理财计划销售协议书</w:t>
            </w:r>
          </w:p>
        </w:tc>
        <w:tc>
          <w:tcPr>
            <w:tcW w:w="2266" w:type="dxa"/>
            <w:noWrap w:val="0"/>
            <w:vAlign w:val="center"/>
          </w:tcPr>
          <w:p>
            <w:pPr>
              <w:spacing w:line="360" w:lineRule="auto"/>
              <w:jc w:val="center"/>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理财计划销售协议书</w:t>
            </w:r>
          </w:p>
        </w:tc>
      </w:tr>
    </w:tbl>
    <w:p>
      <w:pPr>
        <w:jc w:val="center"/>
        <w:rPr>
          <w:rFonts w:hint="eastAsia" w:ascii="宋体" w:hAnsi="宋体" w:cs="宋体"/>
          <w:color w:val="000000" w:themeColor="text1"/>
          <w:sz w:val="44"/>
          <w:szCs w:val="44"/>
          <w:highlight w:val="none"/>
          <w:lang w:val="en-US" w:eastAsia="zh-CN"/>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both"/>
        <w:rPr>
          <w:rFonts w:hint="eastAsia" w:ascii="宋体" w:hAnsi="宋体" w:cs="宋体"/>
          <w:color w:val="000000" w:themeColor="text1"/>
          <w:sz w:val="32"/>
          <w:szCs w:val="32"/>
          <w:highlight w:val="none"/>
          <w14:textFill>
            <w14:solidFill>
              <w14:schemeClr w14:val="tx1"/>
            </w14:solidFill>
          </w14:textFill>
        </w:rPr>
      </w:pPr>
    </w:p>
    <w:p>
      <w:pPr>
        <w:jc w:val="both"/>
        <w:rPr>
          <w:rFonts w:hint="eastAsia" w:ascii="宋体" w:hAnsi="宋体" w:cs="宋体"/>
          <w:color w:val="000000" w:themeColor="text1"/>
          <w:sz w:val="32"/>
          <w:szCs w:val="32"/>
          <w:highlight w:val="none"/>
          <w14:textFill>
            <w14:solidFill>
              <w14:schemeClr w14:val="tx1"/>
            </w14:solidFill>
          </w14:textFill>
        </w:rPr>
      </w:pPr>
    </w:p>
    <w:p>
      <w:pPr>
        <w:jc w:val="both"/>
        <w:rPr>
          <w:rFonts w:hint="eastAsia" w:ascii="宋体" w:hAnsi="宋体" w:cs="宋体"/>
          <w:color w:val="000000" w:themeColor="text1"/>
          <w:sz w:val="32"/>
          <w:szCs w:val="32"/>
          <w:highlight w:val="none"/>
          <w14:textFill>
            <w14:solidFill>
              <w14:schemeClr w14:val="tx1"/>
            </w14:solidFill>
          </w14:textFill>
        </w:rPr>
      </w:pPr>
    </w:p>
    <w:p>
      <w:pPr>
        <w:pStyle w:val="2"/>
        <w:bidi w:val="0"/>
        <w:rPr>
          <w:rFonts w:hint="eastAsia"/>
          <w:color w:val="000000" w:themeColor="text1"/>
          <w:highlight w:val="none"/>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幸福99添益(安享优选)7天持有期8期理财</w:t>
      </w:r>
      <w:r>
        <w:rPr>
          <w:rFonts w:hint="eastAsia" w:ascii="宋体" w:hAnsi="宋体" w:eastAsia="宋体" w:cs="宋体"/>
          <w:b/>
          <w:color w:val="000000" w:themeColor="text1"/>
          <w:highlight w:val="none"/>
          <w14:textFill>
            <w14:solidFill>
              <w14:schemeClr w14:val="tx1"/>
            </w14:solidFill>
          </w14:textFill>
        </w:rPr>
        <w:t>风险揭示书</w:t>
      </w:r>
    </w:p>
    <w:p>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202501</w:t>
      </w:r>
      <w:r>
        <w:rPr>
          <w:rFonts w:hint="eastAsia" w:ascii="宋体" w:hAnsi="宋体" w:cs="宋体"/>
          <w:color w:val="000000" w:themeColor="text1"/>
          <w:sz w:val="28"/>
          <w:szCs w:val="28"/>
          <w:highlight w:val="none"/>
          <w14:textFill>
            <w14:solidFill>
              <w14:schemeClr w14:val="tx1"/>
            </w14:solidFill>
          </w14:textFill>
        </w:rPr>
        <w:t>版）</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尊敬的理财投资者：</w:t>
      </w:r>
    </w:p>
    <w:p>
      <w:pPr>
        <w:spacing w:line="360" w:lineRule="auto"/>
        <w:jc w:val="center"/>
        <w:rPr>
          <w:rFonts w:hint="eastAsia"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w:t>
      </w:r>
      <w:r>
        <w:rPr>
          <w:rFonts w:hint="eastAsia" w:ascii="宋体" w:hAnsi="宋体" w:cs="宋体"/>
          <w:b/>
          <w:bCs/>
          <w:color w:val="000000" w:themeColor="text1"/>
          <w:sz w:val="24"/>
          <w:highlight w:val="none"/>
          <w:u w:val="single"/>
          <w:lang w:eastAsia="zh-CN"/>
          <w14:textFill>
            <w14:solidFill>
              <w14:schemeClr w14:val="tx1"/>
            </w14:solidFill>
          </w14:textFill>
        </w:rPr>
        <w:t>须</w:t>
      </w:r>
      <w:r>
        <w:rPr>
          <w:rFonts w:hint="eastAsia" w:ascii="宋体" w:hAnsi="宋体" w:cs="宋体"/>
          <w:b/>
          <w:bCs/>
          <w:color w:val="000000" w:themeColor="text1"/>
          <w:sz w:val="24"/>
          <w:highlight w:val="none"/>
          <w:u w:val="single"/>
          <w14:textFill>
            <w14:solidFill>
              <w14:schemeClr w14:val="tx1"/>
            </w14:solidFill>
          </w14:textFill>
        </w:rPr>
        <w:t>谨慎</w:t>
      </w:r>
    </w:p>
    <w:p>
      <w:pPr>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w:t>
      </w:r>
      <w:r>
        <w:rPr>
          <w:rFonts w:hint="eastAsia" w:ascii="宋体" w:hAnsi="宋体" w:cs="宋体"/>
          <w:bCs/>
          <w:color w:val="000000" w:themeColor="text1"/>
          <w:sz w:val="24"/>
          <w:highlight w:val="none"/>
          <w:lang w:eastAsia="zh-CN"/>
          <w14:textFill>
            <w14:solidFill>
              <w14:schemeClr w14:val="tx1"/>
            </w14:solidFill>
          </w14:textFill>
        </w:rPr>
        <w:t>国家金融监督管理总局</w:t>
      </w:r>
      <w:r>
        <w:rPr>
          <w:rFonts w:hint="eastAsia" w:ascii="宋体" w:hAnsi="宋体" w:cs="宋体"/>
          <w:bCs/>
          <w:color w:val="000000" w:themeColor="text1"/>
          <w:sz w:val="24"/>
          <w:highlight w:val="none"/>
          <w14:textFill>
            <w14:solidFill>
              <w14:schemeClr w14:val="tx1"/>
            </w14:solidFill>
          </w14:textFill>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themeColor="text1"/>
          <w:sz w:val="24"/>
          <w:highlight w:val="none"/>
          <w:lang w:eastAsia="zh-CN"/>
          <w14:textFill>
            <w14:solidFill>
              <w14:schemeClr w14:val="tx1"/>
            </w14:solidFill>
          </w14:textFill>
        </w:rPr>
        <w:t>理财计划</w:t>
      </w:r>
      <w:r>
        <w:rPr>
          <w:rFonts w:hint="eastAsia" w:ascii="宋体" w:hAnsi="宋体" w:cs="宋体"/>
          <w:bCs/>
          <w:color w:val="000000" w:themeColor="text1"/>
          <w:sz w:val="24"/>
          <w:highlight w:val="none"/>
          <w14:textFill>
            <w14:solidFill>
              <w14:schemeClr w14:val="tx1"/>
            </w14:solidFill>
          </w14:textFill>
        </w:rPr>
        <w:t>风险揭示书、理财计划说明书、投资者权益须知</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理财计划投资协议书</w:t>
      </w:r>
      <w:r>
        <w:rPr>
          <w:rFonts w:hint="eastAsia" w:ascii="宋体" w:hAnsi="宋体" w:cs="宋体"/>
          <w:bCs/>
          <w:color w:val="000000" w:themeColor="text1"/>
          <w:sz w:val="24"/>
          <w:highlight w:val="none"/>
          <w:lang w:eastAsia="zh-CN"/>
          <w14:textFill>
            <w14:solidFill>
              <w14:schemeClr w14:val="tx1"/>
            </w14:solidFill>
          </w14:textFill>
        </w:rPr>
        <w:t>和理财计划销售协议书</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
          <w:bCs w:val="0"/>
          <w:color w:val="000000" w:themeColor="text1"/>
          <w:sz w:val="24"/>
          <w:highlight w:val="none"/>
          <w14:textFill>
            <w14:solidFill>
              <w14:schemeClr w14:val="tx1"/>
            </w14:solidFill>
          </w14:textFill>
        </w:rPr>
        <w:t>若通过电子渠道购买的，成功交易后视同为投资者与管理人已完成理财计划交易合同的签订</w:t>
      </w:r>
      <w:r>
        <w:rPr>
          <w:rFonts w:hint="eastAsia" w:ascii="宋体" w:hAnsi="宋体" w:cs="宋体"/>
          <w:bCs/>
          <w:color w:val="000000" w:themeColor="text1"/>
          <w:sz w:val="24"/>
          <w:highlight w:val="none"/>
          <w14:textFill>
            <w14:solidFill>
              <w14:schemeClr w14:val="tx1"/>
            </w14:solidFill>
          </w14:textFill>
        </w:rPr>
        <w:t>），了解理财计划相关具体情况，并确保已评估自身的风险承受能力和理财计划相关风险后，谨慎投资。</w:t>
      </w:r>
      <w:r>
        <w:rPr>
          <w:rFonts w:hint="eastAsia" w:ascii="宋体" w:hAnsi="宋体" w:cs="宋体"/>
          <w:b/>
          <w:color w:val="000000" w:themeColor="text1"/>
          <w:sz w:val="24"/>
          <w:highlight w:val="none"/>
          <w14:textFill>
            <w14:solidFill>
              <w14:schemeClr w14:val="tx1"/>
            </w14:solidFill>
          </w14:textFill>
        </w:rPr>
        <w:t>如影响您风险承受能力的因素发生变化，请及时更新风险承受能力评估。</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请您根据自身理财目标、投资经验、财务状况、风险承受能力以及其他相关情况慎重购买理财计划。本风险揭示书列示的可能涉及的风险包括但不限于：</w:t>
      </w:r>
    </w:p>
    <w:p>
      <w:pPr>
        <w:pStyle w:val="3"/>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理财计划共性风险</w:t>
      </w:r>
    </w:p>
    <w:p>
      <w:pPr>
        <w:pStyle w:val="4"/>
        <w:numPr>
          <w:ilvl w:val="0"/>
          <w:numId w:val="2"/>
        </w:numPr>
        <w:bidi w:val="0"/>
        <w:ind w:firstLine="482" w:firstLineChars="200"/>
        <w:rPr>
          <w:color w:val="000000" w:themeColor="text1"/>
          <w:highlight w:val="none"/>
          <w14:textFill>
            <w14:solidFill>
              <w14:schemeClr w14:val="tx1"/>
            </w14:solidFill>
          </w14:textFill>
        </w:rPr>
      </w:pPr>
      <w:r>
        <w:rPr>
          <w:rStyle w:val="21"/>
          <w:rFonts w:hint="eastAsia"/>
          <w:b/>
          <w:color w:val="000000" w:themeColor="text1"/>
          <w:highlight w:val="none"/>
          <w14:textFill>
            <w14:solidFill>
              <w14:schemeClr w14:val="tx1"/>
            </w14:solidFill>
          </w14:textFill>
        </w:rPr>
        <w:t>信用风险：</w:t>
      </w:r>
      <w:r>
        <w:rPr>
          <w:rFonts w:hint="eastAsia"/>
          <w:color w:val="000000" w:themeColor="text1"/>
          <w:highlight w:val="none"/>
          <w14:textFill>
            <w14:solidFill>
              <w14:schemeClr w14:val="tx1"/>
            </w14:solidFill>
          </w14:textFill>
        </w:rPr>
        <w:t>理财计划所投资产的相关义务人信用状况恶化，出现信用违约情形，则理财计划本金或收益蒙受部分或全部损失的风险。</w:t>
      </w:r>
    </w:p>
    <w:p>
      <w:pPr>
        <w:pStyle w:val="4"/>
        <w:numPr>
          <w:ilvl w:val="0"/>
          <w:numId w:val="2"/>
        </w:numPr>
        <w:bidi w:val="0"/>
        <w:ind w:firstLine="48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市场风险：</w:t>
      </w:r>
      <w:r>
        <w:rPr>
          <w:rFonts w:hint="eastAsia"/>
          <w:color w:val="000000" w:themeColor="text1"/>
          <w:highlight w:val="none"/>
          <w14:textFill>
            <w14:solidFill>
              <w14:schemeClr w14:val="tx1"/>
            </w14:solidFill>
          </w14:textFill>
        </w:rPr>
        <w:t>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购买力风险：如发生通货膨胀，则所投资产的收益可能会被通货膨胀抵消，从而对理财计划收益</w:t>
      </w:r>
      <w:r>
        <w:rPr>
          <w:rFonts w:hint="eastAsia" w:ascii="宋体" w:hAnsi="宋体" w:cs="宋体"/>
          <w:b/>
          <w:color w:val="000000" w:themeColor="text1"/>
          <w:sz w:val="24"/>
          <w:highlight w:val="none"/>
          <w:lang w:eastAsia="zh-CN"/>
          <w14:textFill>
            <w14:solidFill>
              <w14:schemeClr w14:val="tx1"/>
            </w14:solidFill>
          </w14:textFill>
        </w:rPr>
        <w:t>的实际购买力</w:t>
      </w:r>
      <w:r>
        <w:rPr>
          <w:rFonts w:hint="eastAsia" w:ascii="宋体" w:hAnsi="宋体" w:cs="宋体"/>
          <w:b/>
          <w:color w:val="000000" w:themeColor="text1"/>
          <w:sz w:val="24"/>
          <w:highlight w:val="none"/>
          <w14:textFill>
            <w14:solidFill>
              <w14:schemeClr w14:val="tx1"/>
            </w14:solidFill>
          </w14:textFill>
        </w:rPr>
        <w:t>产生影响。</w:t>
      </w:r>
    </w:p>
    <w:p>
      <w:pPr>
        <w:keepNext/>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left"/>
        <w:textAlignment w:val="auto"/>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利率风险：金融市场利率波动会导致证券市场价格和收益率波动，从而对理财计划收益产生影响。</w:t>
      </w:r>
    </w:p>
    <w:p>
      <w:pPr>
        <w:keepNext/>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left"/>
        <w:textAlignment w:val="auto"/>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汇率风险：理财计划如投资涉及非本国货币，则外汇市场可能会出现汇率波动，从而对理财计划收益产生影响。</w:t>
      </w:r>
    </w:p>
    <w:p>
      <w:pPr>
        <w:pStyle w:val="4"/>
        <w:keepNext/>
        <w:pageBreakBefore w:val="0"/>
        <w:widowControl w:val="0"/>
        <w:numPr>
          <w:ilvl w:val="0"/>
          <w:numId w:val="4"/>
        </w:numPr>
        <w:kinsoku/>
        <w:wordWrap/>
        <w:overflowPunct/>
        <w:topLinePunct w:val="0"/>
        <w:autoSpaceDE/>
        <w:autoSpaceDN/>
        <w:bidi w:val="0"/>
        <w:adjustRightInd/>
        <w:snapToGrid/>
        <w:ind w:firstLine="482"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政策风险：理财计划根据当前的相关法规和政策设计，如国家宏观政策以及相关市场</w:t>
      </w:r>
      <w:r>
        <w:rPr>
          <w:rFonts w:hint="eastAsia" w:ascii="宋体" w:hAnsi="宋体" w:cs="宋体"/>
          <w:b/>
          <w:color w:val="000000" w:themeColor="text1"/>
          <w:sz w:val="24"/>
          <w:highlight w:val="none"/>
          <w:lang w:val="en-US" w:eastAsia="zh-CN"/>
          <w14:textFill>
            <w14:solidFill>
              <w14:schemeClr w14:val="tx1"/>
            </w14:solidFill>
          </w14:textFill>
        </w:rPr>
        <w:t>法律、</w:t>
      </w:r>
      <w:r>
        <w:rPr>
          <w:rFonts w:hint="eastAsia"/>
          <w:color w:val="000000" w:themeColor="text1"/>
          <w:highlight w:val="none"/>
          <w14:textFill>
            <w14:solidFill>
              <w14:schemeClr w14:val="tx1"/>
            </w14:solidFill>
          </w14:textFill>
        </w:rPr>
        <w:t>法规发生变化，可能会影响理财计划的发行、投资、兑付等正常工作流程的进行，导致理财计划本金或收益蒙受部分或全部损失的风险。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操作风险：理财计划由于内部作业、人员管理、系统操作、交易对手交易处理不当或失误等，导致理财计划本金或收益蒙受部分或全部损失的风险。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bidi w:val="0"/>
        <w:ind w:firstLine="482"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提前</w:t>
      </w:r>
      <w:r>
        <w:rPr>
          <w:rFonts w:hint="eastAsia" w:ascii="宋体" w:hAnsi="宋体" w:cs="宋体"/>
          <w:b/>
          <w:color w:val="000000" w:themeColor="text1"/>
          <w:sz w:val="24"/>
          <w:highlight w:val="none"/>
          <w:lang w:eastAsia="zh-CN"/>
          <w14:textFill>
            <w14:solidFill>
              <w14:schemeClr w14:val="tx1"/>
            </w14:solidFill>
          </w14:textFill>
        </w:rPr>
        <w:t>或延期</w:t>
      </w:r>
      <w:r>
        <w:rPr>
          <w:rFonts w:hint="eastAsia" w:ascii="宋体" w:hAnsi="宋体" w:cs="宋体"/>
          <w:b/>
          <w:color w:val="000000" w:themeColor="text1"/>
          <w:sz w:val="24"/>
          <w:highlight w:val="none"/>
          <w14:textFill>
            <w14:solidFill>
              <w14:schemeClr w14:val="tx1"/>
            </w14:solidFill>
          </w14:textFill>
        </w:rPr>
        <w:t>终止风险：为保护投资者利益，在理财计划存续期间，管理人可根据理财计划说明书约定的情形提前</w:t>
      </w:r>
      <w:r>
        <w:rPr>
          <w:rFonts w:hint="eastAsia" w:ascii="宋体" w:hAnsi="宋体" w:cs="宋体"/>
          <w:b/>
          <w:color w:val="000000" w:themeColor="text1"/>
          <w:sz w:val="24"/>
          <w:highlight w:val="none"/>
          <w:lang w:eastAsia="zh-CN"/>
          <w14:textFill>
            <w14:solidFill>
              <w14:schemeClr w14:val="tx1"/>
            </w14:solidFill>
          </w14:textFill>
        </w:rPr>
        <w:t>或延期</w:t>
      </w:r>
      <w:r>
        <w:rPr>
          <w:rFonts w:hint="eastAsia" w:ascii="宋体" w:hAnsi="宋体" w:cs="宋体"/>
          <w:b/>
          <w:color w:val="000000" w:themeColor="text1"/>
          <w:sz w:val="24"/>
          <w:highlight w:val="none"/>
          <w14:textFill>
            <w14:solidFill>
              <w14:schemeClr w14:val="tx1"/>
            </w14:solidFill>
          </w14:textFill>
        </w:rPr>
        <w:t>终止本理财计划。如理财计划被提前</w:t>
      </w:r>
      <w:r>
        <w:rPr>
          <w:rFonts w:hint="eastAsia" w:ascii="宋体" w:hAnsi="宋体" w:cs="宋体"/>
          <w:b/>
          <w:color w:val="000000" w:themeColor="text1"/>
          <w:sz w:val="24"/>
          <w:highlight w:val="none"/>
          <w:lang w:eastAsia="zh-CN"/>
          <w14:textFill>
            <w14:solidFill>
              <w14:schemeClr w14:val="tx1"/>
            </w14:solidFill>
          </w14:textFill>
        </w:rPr>
        <w:t>或延期</w:t>
      </w:r>
      <w:r>
        <w:rPr>
          <w:rFonts w:hint="eastAsia" w:ascii="宋体" w:hAnsi="宋体" w:cs="宋体"/>
          <w:b/>
          <w:color w:val="000000" w:themeColor="text1"/>
          <w:sz w:val="24"/>
          <w:highlight w:val="none"/>
          <w14:textFill>
            <w14:solidFill>
              <w14:schemeClr w14:val="tx1"/>
            </w14:solidFill>
          </w14:textFill>
        </w:rPr>
        <w:t>终止，则投资者将面临提前终止再投资</w:t>
      </w:r>
      <w:r>
        <w:rPr>
          <w:rFonts w:hint="eastAsia" w:ascii="宋体" w:hAnsi="宋体" w:cs="宋体"/>
          <w:b/>
          <w:color w:val="000000" w:themeColor="text1"/>
          <w:sz w:val="24"/>
          <w:highlight w:val="none"/>
          <w:lang w:eastAsia="zh-CN"/>
          <w14:textFill>
            <w14:solidFill>
              <w14:schemeClr w14:val="tx1"/>
            </w14:solidFill>
          </w14:textFill>
        </w:rPr>
        <w:t>或延期兑付</w:t>
      </w:r>
      <w:r>
        <w:rPr>
          <w:rFonts w:hint="eastAsia" w:ascii="宋体" w:hAnsi="宋体" w:cs="宋体"/>
          <w:b/>
          <w:color w:val="000000" w:themeColor="text1"/>
          <w:sz w:val="24"/>
          <w:highlight w:val="none"/>
          <w14:textFill>
            <w14:solidFill>
              <w14:schemeClr w14:val="tx1"/>
            </w14:solidFill>
          </w14:textFill>
        </w:rPr>
        <w:t>的风险。</w:t>
      </w:r>
    </w:p>
    <w:p>
      <w:pPr>
        <w:numPr>
          <w:ilvl w:val="0"/>
          <w:numId w:val="4"/>
        </w:numPr>
        <w:spacing w:line="360" w:lineRule="auto"/>
        <w:jc w:val="left"/>
        <w:outlineLvl w:val="2"/>
        <w:rPr>
          <w:rFonts w:hint="eastAsia" w:ascii="Calibri" w:hAnsi="Calibri" w:eastAsia="宋体" w:cs="黑体"/>
          <w:b/>
          <w:color w:val="000000" w:themeColor="text1"/>
          <w:kern w:val="2"/>
          <w:sz w:val="24"/>
          <w:szCs w:val="24"/>
          <w:highlight w:val="none"/>
          <w:lang w:val="en-US" w:eastAsia="zh-CN" w:bidi="ar-SA"/>
          <w14:textFill>
            <w14:solidFill>
              <w14:schemeClr w14:val="tx1"/>
            </w14:solidFill>
          </w14:textFill>
        </w:rPr>
      </w:pPr>
      <w:r>
        <w:rPr>
          <w:rStyle w:val="23"/>
          <w:rFonts w:hint="eastAsia"/>
          <w:color w:val="000000" w:themeColor="text1"/>
          <w:highlight w:val="none"/>
          <w:lang w:val="en-US" w:eastAsia="zh-CN"/>
          <w14:textFill>
            <w14:solidFill>
              <w14:schemeClr w14:val="tx1"/>
            </w14:solidFill>
          </w14:textFill>
        </w:rPr>
        <w:t>信息传递风险：</w:t>
      </w:r>
      <w:r>
        <w:rPr>
          <w:rFonts w:hint="eastAsia" w:ascii="宋体" w:hAnsi="宋体" w:cs="宋体"/>
          <w:b/>
          <w:color w:val="000000" w:themeColor="text1"/>
          <w:sz w:val="24"/>
          <w:highlight w:val="none"/>
          <w:lang w:val="en-US" w:eastAsia="zh-CN"/>
          <w14:textFill>
            <w14:solidFill>
              <w14:schemeClr w14:val="tx1"/>
            </w14:solidFill>
          </w14:textFill>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themeColor="text1"/>
          <w:sz w:val="24"/>
          <w:highlight w:val="none"/>
          <w14:textFill>
            <w14:solidFill>
              <w14:schemeClr w14:val="tx1"/>
            </w14:solidFill>
          </w14:textFill>
        </w:rPr>
        <w:t>由于投资者未能及时主动了解理财计划信息</w:t>
      </w:r>
      <w:r>
        <w:rPr>
          <w:rFonts w:hint="eastAsia" w:ascii="宋体" w:hAnsi="宋体" w:cs="宋体"/>
          <w:b/>
          <w:color w:val="000000" w:themeColor="text1"/>
          <w:sz w:val="24"/>
          <w:highlight w:val="none"/>
          <w:lang w:val="en-US" w:eastAsia="zh-CN"/>
          <w14:textFill>
            <w14:solidFill>
              <w14:schemeClr w14:val="tx1"/>
            </w14:solidFill>
          </w14:textFill>
        </w:rPr>
        <w:t>或由于不抗力及/或意外事件的影响导致投资者无法及时了解理财计划信息，从而影响投资者的投资决策，由此产生的责任和风险由投资者自行承担</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pStyle w:val="4"/>
        <w:numPr>
          <w:ilvl w:val="0"/>
          <w:numId w:val="4"/>
        </w:num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color w:val="000000" w:themeColor="text1"/>
          <w:highlight w:val="none"/>
          <w:lang w:eastAsia="zh-CN"/>
          <w14:textFill>
            <w14:solidFill>
              <w14:schemeClr w14:val="tx1"/>
            </w14:solidFill>
          </w14:textFill>
        </w:rPr>
        <w:t>理</w:t>
      </w:r>
      <w:r>
        <w:rPr>
          <w:rFonts w:hint="eastAsia"/>
          <w:color w:val="000000" w:themeColor="text1"/>
          <w:highlight w:val="none"/>
          <w14:textFill>
            <w14:solidFill>
              <w14:schemeClr w14:val="tx1"/>
            </w14:solidFill>
          </w14:textFill>
        </w:rPr>
        <w:t>财计划本金或收益蒙受部分或全部损失的风险。</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建仓期风险：如理财计划设置建仓期，则在建仓期内理财计划的投资比例可能无法满足约定的投资比例限制，从而对理财计划收益产生影响。</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代销风险：本理财计划通过代销渠道销售，投资者认</w:t>
      </w:r>
      <w:r>
        <w:rPr>
          <w:rFonts w:hint="eastAsia" w:ascii="宋体" w:hAnsi="宋体" w:cs="宋体"/>
          <w:b/>
          <w:color w:val="000000" w:themeColor="text1"/>
          <w:sz w:val="24"/>
          <w:highlight w:val="none"/>
          <w:lang w:val="en-US" w:eastAsia="zh-CN"/>
          <w14:textFill>
            <w14:solidFill>
              <w14:schemeClr w14:val="tx1"/>
            </w14:solidFill>
          </w14:textFill>
        </w:rPr>
        <w:t>/申</w:t>
      </w:r>
      <w:r>
        <w:rPr>
          <w:rFonts w:hint="eastAsia" w:ascii="宋体" w:hAnsi="宋体" w:cs="宋体"/>
          <w:b/>
          <w:color w:val="000000" w:themeColor="text1"/>
          <w:sz w:val="24"/>
          <w:highlight w:val="none"/>
          <w14:textFill>
            <w14:solidFill>
              <w14:schemeClr w14:val="tx1"/>
            </w14:solidFill>
          </w14:textFill>
        </w:rPr>
        <w:t>购理财计划的资金由销售机构从投资者资金账户扣收；理财计划到期</w:t>
      </w:r>
      <w:r>
        <w:rPr>
          <w:rFonts w:hint="eastAsia" w:ascii="宋体" w:hAnsi="宋体" w:cs="宋体"/>
          <w:b/>
          <w:color w:val="000000" w:themeColor="text1"/>
          <w:sz w:val="24"/>
          <w:highlight w:val="none"/>
          <w:lang w:val="en-US" w:eastAsia="zh-CN"/>
          <w14:textFill>
            <w14:solidFill>
              <w14:schemeClr w14:val="tx1"/>
            </w14:solidFill>
          </w14:textFill>
        </w:rPr>
        <w:t>/赎回</w:t>
      </w:r>
      <w:r>
        <w:rPr>
          <w:rFonts w:hint="eastAsia" w:ascii="宋体" w:hAnsi="宋体" w:cs="宋体"/>
          <w:b/>
          <w:color w:val="000000" w:themeColor="text1"/>
          <w:sz w:val="24"/>
          <w:highlight w:val="none"/>
          <w14:textFill>
            <w14:solidFill>
              <w14:schemeClr w14:val="tx1"/>
            </w14:solidFill>
          </w14:textFill>
        </w:rPr>
        <w:t>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关联关系</w:t>
      </w:r>
      <w:r>
        <w:rPr>
          <w:rFonts w:hint="eastAsia" w:ascii="宋体" w:hAnsi="宋体" w:cs="宋体"/>
          <w:b/>
          <w:color w:val="000000" w:themeColor="text1"/>
          <w:sz w:val="24"/>
          <w:highlight w:val="none"/>
          <w:lang w:val="en-US" w:eastAsia="zh-CN"/>
          <w14:textFill>
            <w14:solidFill>
              <w14:schemeClr w14:val="tx1"/>
            </w14:solidFill>
          </w14:textFill>
        </w:rPr>
        <w:t>及关联交易</w:t>
      </w:r>
      <w:r>
        <w:rPr>
          <w:rFonts w:ascii="宋体" w:hAnsi="宋体" w:cs="宋体"/>
          <w:b/>
          <w:color w:val="000000" w:themeColor="text1"/>
          <w:sz w:val="24"/>
          <w:highlight w:val="none"/>
          <w14:textFill>
            <w14:solidFill>
              <w14:schemeClr w14:val="tx1"/>
            </w14:solidFill>
          </w14:textFill>
        </w:rPr>
        <w:t>风险：</w:t>
      </w:r>
      <w:r>
        <w:rPr>
          <w:rFonts w:hint="eastAsia" w:ascii="宋体" w:hAnsi="宋体" w:cs="宋体"/>
          <w:b/>
          <w:color w:val="000000" w:themeColor="text1"/>
          <w:sz w:val="24"/>
          <w:highlight w:val="none"/>
          <w:lang w:val="en-US" w:eastAsia="zh-CN"/>
          <w14:textFill>
            <w14:solidFill>
              <w14:schemeClr w14:val="tx1"/>
            </w14:solidFill>
          </w14:textFill>
        </w:rPr>
        <w:t>本理财计划由杭银理财发行并管理，独立履行理财计划管理人职责，杭银理财有权委托销售服务机构进行代理销售，可能涉及委托</w:t>
      </w:r>
      <w:r>
        <w:rPr>
          <w:rFonts w:ascii="宋体" w:hAnsi="宋体" w:cs="宋体"/>
          <w:b/>
          <w:color w:val="000000" w:themeColor="text1"/>
          <w:sz w:val="24"/>
          <w:highlight w:val="none"/>
          <w14:textFill>
            <w14:solidFill>
              <w14:schemeClr w14:val="tx1"/>
            </w14:solidFill>
          </w14:textFill>
        </w:rPr>
        <w:t>杭州银行股份有限公司</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以下简称“杭州银行”</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作为理财计划的销售服务机构</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负责理财计划的代理销售工作。</w:t>
      </w:r>
      <w:r>
        <w:rPr>
          <w:rFonts w:ascii="宋体" w:hAnsi="宋体" w:cs="宋体"/>
          <w:b/>
          <w:color w:val="000000" w:themeColor="text1"/>
          <w:sz w:val="24"/>
          <w:highlight w:val="none"/>
          <w14:textFill>
            <w14:solidFill>
              <w14:schemeClr w14:val="tx1"/>
            </w14:solidFill>
          </w14:textFill>
        </w:rPr>
        <w:t>杭银理财系杭州银行全资子公司，双方存在关联关系。</w:t>
      </w:r>
      <w:r>
        <w:rPr>
          <w:rFonts w:hint="eastAsia" w:ascii="宋体" w:hAnsi="宋体" w:cs="宋体"/>
          <w:b/>
          <w:color w:val="000000" w:themeColor="text1"/>
          <w:sz w:val="24"/>
          <w:highlight w:val="none"/>
          <w:lang w:val="en-US" w:eastAsia="zh-CN"/>
          <w14:textFill>
            <w14:solidFill>
              <w14:schemeClr w14:val="tx1"/>
            </w14:solidFill>
          </w14:textFill>
        </w:rPr>
        <w:t>尽管杭银理财将严格遵守法律、行政法规、金融监管规定</w:t>
      </w:r>
      <w:bookmarkStart w:id="0" w:name="OLE_LINK3"/>
      <w:r>
        <w:rPr>
          <w:rFonts w:hint="eastAsia" w:ascii="宋体" w:hAnsi="宋体" w:cs="宋体"/>
          <w:b/>
          <w:color w:val="000000" w:themeColor="text1"/>
          <w:sz w:val="24"/>
          <w:highlight w:val="none"/>
          <w:lang w:val="en-US" w:eastAsia="zh-CN"/>
          <w14:textFill>
            <w14:solidFill>
              <w14:schemeClr w14:val="tx1"/>
            </w14:solidFill>
          </w14:textFill>
        </w:rPr>
        <w:t>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ind w:firstLine="482" w:firstLineChars="200"/>
        <w:jc w:val="left"/>
        <w:outlineLvl w:val="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投资者合规风险：</w:t>
      </w:r>
      <w:r>
        <w:rPr>
          <w:rFonts w:hint="eastAsia" w:ascii="宋体" w:hAnsi="宋体" w:cs="宋体"/>
          <w:b/>
          <w:bCs w:val="0"/>
          <w:color w:val="000000" w:themeColor="text1"/>
          <w:sz w:val="24"/>
          <w:highlight w:val="none"/>
          <w:lang w:val="en-US" w:eastAsia="zh-CN"/>
          <w14:textFill>
            <w14:solidFill>
              <w14:schemeClr w14:val="tx1"/>
            </w14:solidFill>
          </w14:textFill>
        </w:rPr>
        <w:t>根据</w:t>
      </w:r>
      <w:r>
        <w:rPr>
          <w:rFonts w:hint="eastAsia" w:ascii="宋体" w:hAnsi="宋体" w:cs="宋体"/>
          <w:b/>
          <w:bCs w:val="0"/>
          <w:color w:val="000000" w:themeColor="text1"/>
          <w:sz w:val="24"/>
          <w:highlight w:val="none"/>
          <w14:textFill>
            <w14:solidFill>
              <w14:schemeClr w14:val="tx1"/>
            </w14:solidFill>
          </w14:textFill>
        </w:rPr>
        <w:t>法律、行政法规、金融监管规定及</w:t>
      </w:r>
      <w:r>
        <w:rPr>
          <w:rFonts w:hint="eastAsia" w:ascii="宋体" w:hAnsi="宋体" w:cs="宋体"/>
          <w:b/>
          <w:bCs w:val="0"/>
          <w:color w:val="000000" w:themeColor="text1"/>
          <w:sz w:val="24"/>
          <w:highlight w:val="none"/>
          <w:lang w:val="en-US" w:eastAsia="zh-CN"/>
          <w14:textFill>
            <w14:solidFill>
              <w14:schemeClr w14:val="tx1"/>
            </w14:solidFill>
          </w14:textFill>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w:t>
      </w:r>
      <w:bookmarkEnd w:id="0"/>
      <w:r>
        <w:rPr>
          <w:rFonts w:hint="eastAsia" w:ascii="宋体" w:hAnsi="宋体" w:cs="宋体"/>
          <w:b/>
          <w:bCs w:val="0"/>
          <w:color w:val="000000" w:themeColor="text1"/>
          <w:sz w:val="24"/>
          <w:highlight w:val="none"/>
          <w:lang w:val="en-US" w:eastAsia="zh-CN"/>
          <w14:textFill>
            <w14:solidFill>
              <w14:schemeClr w14:val="tx1"/>
            </w14:solidFill>
          </w14:textFill>
        </w:rPr>
        <w:t>申请、冻结份额等交易限制措施，由此产生的损失及责任由投资者自行承担。</w:t>
      </w:r>
    </w:p>
    <w:p>
      <w:pPr>
        <w:numPr>
          <w:ilvl w:val="0"/>
          <w:numId w:val="1"/>
        </w:numPr>
        <w:spacing w:line="360" w:lineRule="auto"/>
        <w:ind w:firstLine="482" w:firstLineChars="20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理财计划特定风险</w:t>
      </w:r>
    </w:p>
    <w:p>
      <w:pPr>
        <w:numPr>
          <w:ilvl w:val="0"/>
          <w:numId w:val="5"/>
        </w:numPr>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国内上市优先股资产风险：本理财计划所投优先股资产，由于受到发行人的经营状况、信用评级下降或资产交易市场不活跃等因素的影响，存在因市场风险、信用风险、流动性风险等引起的资产价值波动，</w:t>
      </w:r>
      <w:r>
        <w:rPr>
          <w:rFonts w:hint="eastAsia" w:ascii="宋体" w:hAnsi="宋体" w:cs="宋体"/>
          <w:b/>
          <w:color w:val="000000" w:themeColor="text1"/>
          <w:sz w:val="24"/>
          <w:highlight w:val="none"/>
          <w14:textFill>
            <w14:solidFill>
              <w14:schemeClr w14:val="tx1"/>
            </w14:solidFill>
          </w14:textFill>
        </w:rPr>
        <w:t>投资者的本金可能会出现损失。</w:t>
      </w:r>
    </w:p>
    <w:p>
      <w:pPr>
        <w:numPr>
          <w:ilvl w:val="0"/>
          <w:numId w:val="5"/>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收益不达业绩比较基准风险：本理财计划的投资收益与投资者的申购、赎回时点密切相关，收益存在一定的波动性，理财计划本金出现损失的可能性不容忽视。</w:t>
      </w:r>
    </w:p>
    <w:p>
      <w:pPr>
        <w:numPr>
          <w:ilvl w:val="0"/>
          <w:numId w:val="5"/>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未知价风险：产品以产品申购和赎回确认时的单位净值，按照“金额申购、份额赎回”的原则计算投资者申购份额和赎回资金，产品净值可能会有波动</w:t>
      </w:r>
      <w:r>
        <w:rPr>
          <w:rFonts w:hint="eastAsia" w:ascii="宋体" w:hAnsi="宋体" w:cs="宋体"/>
          <w:b/>
          <w:color w:val="000000" w:themeColor="text1"/>
          <w:sz w:val="24"/>
          <w:highlight w:val="none"/>
          <w:lang w:eastAsia="zh-CN"/>
          <w14:textFill>
            <w14:solidFill>
              <w14:schemeClr w14:val="tx1"/>
            </w14:solidFill>
          </w14:textFill>
        </w:rPr>
        <w:t>。</w:t>
      </w:r>
    </w:p>
    <w:p>
      <w:p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上述理财计划共性与特定风险发生时，投资者的本金及收益可能遭受损失，在最不利情形下，将损失全部本金及收益</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如有</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，由此产生的风险及损失将由投资者自行承担。</w:t>
      </w:r>
    </w:p>
    <w:p>
      <w:pPr>
        <w:numPr>
          <w:ilvl w:val="0"/>
          <w:numId w:val="1"/>
        </w:numPr>
        <w:spacing w:line="360" w:lineRule="auto"/>
        <w:ind w:firstLine="482" w:firstLineChars="20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其他信息提示</w:t>
      </w:r>
    </w:p>
    <w:p>
      <w:pPr>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根据募集方式的不同，理财产品分为公募理财产品和私募理财产品。</w:t>
      </w:r>
      <w:r>
        <w:rPr>
          <w:rFonts w:hint="eastAsia" w:ascii="宋体" w:hAnsi="宋体" w:cs="宋体"/>
          <w:bCs/>
          <w:color w:val="000000" w:themeColor="text1"/>
          <w:sz w:val="24"/>
          <w:highlight w:val="none"/>
          <w14:textFill>
            <w14:solidFill>
              <w14:schemeClr w14:val="tx1"/>
            </w14:solidFill>
          </w14:textFill>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最近1年末净资产不低于1000万元人民币的法人或者依法成立的其他组织；</w:t>
      </w:r>
    </w:p>
    <w:p>
      <w:pPr>
        <w:numPr>
          <w:ilvl w:val="0"/>
          <w:numId w:val="7"/>
        </w:numPr>
        <w:spacing w:line="360" w:lineRule="auto"/>
        <w:ind w:firstLine="480" w:firstLineChars="200"/>
        <w:jc w:val="left"/>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根据投资性质的不同，理财产品分为固定收益类理财产品、权益类理财产品、商品及金融衍生品类理财产品和混合类理财产品。</w:t>
      </w:r>
      <w:r>
        <w:rPr>
          <w:rFonts w:hint="eastAsia" w:ascii="宋体" w:hAnsi="宋体" w:cs="宋体"/>
          <w:bCs/>
          <w:color w:val="000000" w:themeColor="text1"/>
          <w:sz w:val="24"/>
          <w:highlight w:val="none"/>
          <w14:textFill>
            <w14:solidFill>
              <w14:schemeClr w14:val="tx1"/>
            </w14:solidFill>
          </w14:textFill>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根据运作方式的不同，将理财产品分为封闭式理财产品和开放式理财产品。</w:t>
      </w:r>
      <w:r>
        <w:rPr>
          <w:rFonts w:hint="eastAsia" w:ascii="宋体" w:hAnsi="宋体" w:cs="宋体"/>
          <w:bCs/>
          <w:color w:val="000000" w:themeColor="text1"/>
          <w:sz w:val="24"/>
          <w:highlight w:val="none"/>
          <w14:textFill>
            <w14:solidFill>
              <w14:schemeClr w14:val="tx1"/>
            </w14:solidFill>
          </w14:textFill>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本理财计划为公募、开放式、〖固定收益类〗净值型理财计划，〖</w:t>
      </w:r>
      <w:r>
        <w:rPr>
          <w:rFonts w:hint="eastAsia" w:ascii="宋体" w:hAnsi="宋体" w:cs="宋体"/>
          <w:b/>
          <w:color w:val="000000" w:themeColor="text1"/>
          <w:sz w:val="24"/>
          <w:highlight w:val="none"/>
          <w:lang w:eastAsia="zh-CN"/>
          <w14:textFill>
            <w14:solidFill>
              <w14:schemeClr w14:val="tx1"/>
            </w14:solidFill>
          </w14:textFill>
        </w:rPr>
        <w:t>无固定期限</w:t>
      </w:r>
      <w:r>
        <w:rPr>
          <w:rFonts w:hint="eastAsia" w:ascii="宋体" w:hAnsi="宋体" w:cs="宋体"/>
          <w:b/>
          <w:color w:val="000000" w:themeColor="text1"/>
          <w:sz w:val="24"/>
          <w:highlight w:val="none"/>
          <w14:textFill>
            <w14:solidFill>
              <w14:schemeClr w14:val="tx1"/>
            </w14:solidFill>
          </w14:textFill>
        </w:rPr>
        <w:t>〗，不保证本金与收益。</w:t>
      </w:r>
      <w:r>
        <w:rPr>
          <w:rFonts w:hint="eastAsia" w:ascii="宋体" w:hAnsi="宋体" w:cs="宋体"/>
          <w:b/>
          <w:color w:val="000000" w:themeColor="text1"/>
          <w:sz w:val="24"/>
          <w:highlight w:val="none"/>
          <w:lang w:val="en-US" w:eastAsia="zh-CN"/>
          <w14:textFill>
            <w14:solidFill>
              <w14:schemeClr w14:val="tx1"/>
            </w14:solidFill>
          </w14:textFill>
        </w:rPr>
        <w:t>理财计划过往业绩不代表其未来表现，不等于理财计划实际收益，投资须谨慎！</w:t>
      </w:r>
      <w:r>
        <w:rPr>
          <w:rFonts w:hint="eastAsia" w:ascii="宋体" w:hAnsi="宋体" w:cs="宋体"/>
          <w:b/>
          <w:color w:val="000000" w:themeColor="text1"/>
          <w:sz w:val="24"/>
          <w:highlight w:val="none"/>
          <w14:textFill>
            <w14:solidFill>
              <w14:schemeClr w14:val="tx1"/>
            </w14:solidFill>
          </w14:textFill>
        </w:rPr>
        <w:t>根据本公司理财产品内部风险评级，该理财计划风险评级结果为〖R2〗,〖中低〗风险</w:t>
      </w:r>
      <w:r>
        <w:rPr>
          <w:rFonts w:hint="eastAsia" w:ascii="宋体" w:hAnsi="宋体" w:cs="宋体"/>
          <w:bCs/>
          <w:color w:val="000000" w:themeColor="text1"/>
          <w:sz w:val="24"/>
          <w:highlight w:val="none"/>
          <w14:textFill>
            <w14:solidFill>
              <w14:schemeClr w14:val="tx1"/>
            </w14:solidFill>
          </w14:textFill>
        </w:rPr>
        <w:t>（本风险等级为我公司内部风险评级结果，仅供参考</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理财计划通过代理销售机构渠道销售的，理财计划产品评级应当以代理销售机构最终披露的评级结果为准</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总体风险〖程度较低，收益波动较小，虽然存在一些可能对本金和收益安全产生不利影响的因素，但产品本金出现损失的可能性很小〗。</w:t>
      </w:r>
    </w:p>
    <w:p>
      <w:pPr>
        <w:spacing w:line="360" w:lineRule="auto"/>
        <w:ind w:firstLine="482"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本理财计划适合〖机构投资者〗以及〖稳健型、平衡型、成长型、进取型〗的个人投资者</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个人投资者的风险承受能力评估以销售机构为准</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本理财计划投资者适当性评估由销售机构负责，销售机构</w:t>
      </w:r>
      <w:r>
        <w:rPr>
          <w:rFonts w:hint="eastAsia" w:ascii="宋体" w:hAnsi="宋体" w:cs="宋体"/>
          <w:bCs/>
          <w:color w:val="000000" w:themeColor="text1"/>
          <w:sz w:val="24"/>
          <w:highlight w:val="none"/>
          <w14:textFill>
            <w14:solidFill>
              <w14:schemeClr w14:val="tx1"/>
            </w14:solidFill>
          </w14:textFill>
        </w:rPr>
        <w:t>应确保个人投资者的风险承受能力不低于本理财计划风险评级。</w:t>
      </w:r>
      <w:r>
        <w:rPr>
          <w:rFonts w:hint="eastAsia" w:ascii="宋体" w:hAnsi="宋体" w:cs="宋体"/>
          <w:bCs/>
          <w:color w:val="000000" w:themeColor="text1"/>
          <w:sz w:val="24"/>
          <w:highlight w:val="none"/>
          <w:lang w:val="en-US" w:eastAsia="zh-CN"/>
          <w14:textFill>
            <w14:solidFill>
              <w14:schemeClr w14:val="tx1"/>
            </w14:solidFill>
          </w14:textFill>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right"/>
        <w:rPr>
          <w:rFonts w:hint="eastAsia" w:ascii="宋体" w:hAnsi="宋体" w:cs="宋体"/>
          <w:bCs/>
          <w:color w:val="000000" w:themeColor="text1"/>
          <w:sz w:val="24"/>
          <w:highlight w:val="none"/>
          <w14:textFill>
            <w14:solidFill>
              <w14:schemeClr w14:val="tx1"/>
            </w14:solidFill>
          </w14:textFill>
        </w:rPr>
      </w:pP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特别提示：杭银理财有限责任公司作为本</w:t>
      </w:r>
      <w:r>
        <w:rPr>
          <w:rFonts w:hint="eastAsia" w:ascii="宋体" w:hAnsi="宋体" w:cs="宋体"/>
          <w:bCs/>
          <w:color w:val="000000" w:themeColor="text1"/>
          <w:sz w:val="24"/>
          <w:highlight w:val="none"/>
          <w:lang w:eastAsia="zh-CN"/>
          <w14:textFill>
            <w14:solidFill>
              <w14:schemeClr w14:val="tx1"/>
            </w14:solidFill>
          </w14:textFill>
        </w:rPr>
        <w:t>理财计划</w:t>
      </w:r>
      <w:r>
        <w:rPr>
          <w:rFonts w:hint="eastAsia" w:ascii="宋体" w:hAnsi="宋体" w:cs="宋体"/>
          <w:bCs/>
          <w:color w:val="000000" w:themeColor="text1"/>
          <w:sz w:val="24"/>
          <w:highlight w:val="none"/>
          <w14:textFill>
            <w14:solidFill>
              <w14:schemeClr w14:val="tx1"/>
            </w14:solidFill>
          </w14:textFill>
        </w:rPr>
        <w:t>管理人</w:t>
      </w:r>
      <w:r>
        <w:rPr>
          <w:rFonts w:hint="eastAsia" w:ascii="宋体" w:hAnsi="宋体" w:cs="宋体"/>
          <w:bCs/>
          <w:color w:val="000000" w:themeColor="text1"/>
          <w:sz w:val="24"/>
          <w:szCs w:val="24"/>
          <w:highlight w:val="none"/>
          <w14:textFill>
            <w14:solidFill>
              <w14:schemeClr w14:val="tx1"/>
            </w14:solidFill>
          </w14:textFill>
        </w:rPr>
        <w:t>有权按照</w:t>
      </w:r>
      <w:r>
        <w:rPr>
          <w:rFonts w:hint="eastAsia" w:ascii="宋体" w:hAnsi="宋体" w:cs="宋体"/>
          <w:bCs/>
          <w:color w:val="000000" w:themeColor="text1"/>
          <w:sz w:val="24"/>
          <w:highlight w:val="none"/>
          <w14:textFill>
            <w14:solidFill>
              <w14:schemeClr w14:val="tx1"/>
            </w14:solidFill>
          </w14:textFill>
        </w:rPr>
        <w:t>国内外反洗钱相关适用的</w:t>
      </w:r>
      <w:r>
        <w:rPr>
          <w:rFonts w:hint="eastAsia" w:ascii="宋体" w:hAnsi="宋体" w:cs="宋体"/>
          <w:bCs/>
          <w:color w:val="000000" w:themeColor="text1"/>
          <w:sz w:val="24"/>
          <w:szCs w:val="24"/>
          <w:highlight w:val="none"/>
          <w14:textFill>
            <w14:solidFill>
              <w14:schemeClr w14:val="tx1"/>
            </w14:solidFill>
          </w14:textFill>
        </w:rPr>
        <w:t>法律法规和监管要求，从</w:t>
      </w:r>
      <w:r>
        <w:rPr>
          <w:rFonts w:hint="eastAsia" w:ascii="宋体" w:hAnsi="宋体" w:cs="宋体"/>
          <w:bCs/>
          <w:color w:val="000000" w:themeColor="text1"/>
          <w:sz w:val="24"/>
          <w:szCs w:val="24"/>
          <w:highlight w:val="none"/>
          <w:lang w:eastAsia="zh-CN"/>
          <w14:textFill>
            <w14:solidFill>
              <w14:schemeClr w14:val="tx1"/>
            </w14:solidFill>
          </w14:textFill>
        </w:rPr>
        <w:t>销售机构</w:t>
      </w:r>
      <w:r>
        <w:rPr>
          <w:rFonts w:hint="eastAsia" w:ascii="宋体" w:hAnsi="宋体" w:cs="宋体"/>
          <w:bCs/>
          <w:color w:val="000000" w:themeColor="text1"/>
          <w:sz w:val="24"/>
          <w:szCs w:val="24"/>
          <w:highlight w:val="none"/>
          <w14:textFill>
            <w14:solidFill>
              <w14:schemeClr w14:val="tx1"/>
            </w14:solidFill>
          </w14:textFill>
        </w:rPr>
        <w:t>获</w:t>
      </w:r>
      <w:r>
        <w:rPr>
          <w:rFonts w:hint="eastAsia" w:ascii="宋体" w:hAnsi="宋体" w:cs="宋体"/>
          <w:bCs/>
          <w:color w:val="000000" w:themeColor="text1"/>
          <w:sz w:val="24"/>
          <w:highlight w:val="none"/>
          <w14:textFill>
            <w14:solidFill>
              <w14:schemeClr w14:val="tx1"/>
            </w14:solidFill>
          </w14:textFill>
        </w:rPr>
        <w:t>得相应必要的</w:t>
      </w:r>
      <w:r>
        <w:rPr>
          <w:rFonts w:hint="eastAsia" w:ascii="宋体" w:hAnsi="宋体" w:cs="宋体"/>
          <w:bCs/>
          <w:color w:val="000000" w:themeColor="text1"/>
          <w:sz w:val="24"/>
          <w:szCs w:val="24"/>
          <w:highlight w:val="none"/>
          <w14:textFill>
            <w14:solidFill>
              <w14:schemeClr w14:val="tx1"/>
            </w14:solidFill>
          </w14:textFill>
        </w:rPr>
        <w:t>投资者身份信息并报送投资者身份信息及其持有理财产品信息。</w:t>
      </w:r>
      <w:r>
        <w:rPr>
          <w:rFonts w:hint="eastAsia" w:ascii="宋体" w:hAnsi="宋体" w:cs="宋体"/>
          <w:bCs/>
          <w:color w:val="000000" w:themeColor="text1"/>
          <w:sz w:val="24"/>
          <w:szCs w:val="24"/>
          <w:highlight w:val="none"/>
          <w:lang w:eastAsia="zh-CN"/>
          <w14:textFill>
            <w14:solidFill>
              <w14:schemeClr w14:val="tx1"/>
            </w14:solidFill>
          </w14:textFill>
        </w:rPr>
        <w:t>销售机构</w:t>
      </w:r>
      <w:r>
        <w:rPr>
          <w:rFonts w:hint="eastAsia" w:ascii="宋体" w:hAnsi="宋体" w:cs="宋体"/>
          <w:bCs/>
          <w:color w:val="000000" w:themeColor="text1"/>
          <w:sz w:val="24"/>
          <w:highlight w:val="none"/>
          <w14:textFill>
            <w14:solidFill>
              <w14:schemeClr w14:val="tx1"/>
            </w14:solidFill>
          </w14:textFill>
        </w:rPr>
        <w:t>将</w:t>
      </w:r>
      <w:r>
        <w:rPr>
          <w:rFonts w:hint="eastAsia" w:ascii="宋体" w:hAnsi="宋体" w:cs="宋体"/>
          <w:bCs/>
          <w:color w:val="000000" w:themeColor="text1"/>
          <w:sz w:val="24"/>
          <w:szCs w:val="24"/>
          <w:highlight w:val="none"/>
          <w14:textFill>
            <w14:solidFill>
              <w14:schemeClr w14:val="tx1"/>
            </w14:solidFill>
          </w14:textFill>
        </w:rPr>
        <w:t>在</w:t>
      </w:r>
      <w:r>
        <w:rPr>
          <w:rFonts w:hint="eastAsia" w:ascii="宋体" w:hAnsi="宋体" w:cs="宋体"/>
          <w:bCs/>
          <w:color w:val="000000" w:themeColor="text1"/>
          <w:sz w:val="24"/>
          <w:highlight w:val="none"/>
          <w14:textFill>
            <w14:solidFill>
              <w14:schemeClr w14:val="tx1"/>
            </w14:solidFill>
          </w14:textFill>
        </w:rPr>
        <w:t>合法、合理且必要时向管理人</w:t>
      </w:r>
      <w:r>
        <w:rPr>
          <w:rFonts w:hint="eastAsia" w:ascii="宋体" w:hAnsi="宋体" w:cs="宋体"/>
          <w:bCs/>
          <w:color w:val="000000" w:themeColor="text1"/>
          <w:sz w:val="24"/>
          <w:szCs w:val="24"/>
          <w:highlight w:val="none"/>
          <w14:textFill>
            <w14:solidFill>
              <w14:schemeClr w14:val="tx1"/>
            </w14:solidFill>
          </w14:textFill>
        </w:rPr>
        <w:t>提供投资</w:t>
      </w:r>
      <w:r>
        <w:rPr>
          <w:rFonts w:hint="eastAsia" w:ascii="宋体" w:hAnsi="宋体" w:cs="宋体"/>
          <w:bCs/>
          <w:color w:val="000000" w:themeColor="text1"/>
          <w:sz w:val="24"/>
          <w:highlight w:val="none"/>
          <w14:textFill>
            <w14:solidFill>
              <w14:schemeClr w14:val="tx1"/>
            </w14:solidFill>
          </w14:textFill>
        </w:rPr>
        <w:t>者身份识别</w:t>
      </w:r>
      <w:r>
        <w:rPr>
          <w:rFonts w:hint="eastAsia" w:ascii="宋体" w:hAnsi="宋体" w:cs="宋体"/>
          <w:bCs/>
          <w:color w:val="000000" w:themeColor="text1"/>
          <w:sz w:val="24"/>
          <w:szCs w:val="24"/>
          <w:highlight w:val="none"/>
          <w14:textFill>
            <w14:solidFill>
              <w14:schemeClr w14:val="tx1"/>
            </w14:solidFill>
          </w14:textFill>
        </w:rPr>
        <w:t>信息（投资者身份</w:t>
      </w:r>
      <w:r>
        <w:rPr>
          <w:rFonts w:hint="eastAsia" w:ascii="宋体" w:hAnsi="宋体" w:cs="宋体"/>
          <w:bCs/>
          <w:color w:val="000000" w:themeColor="text1"/>
          <w:sz w:val="24"/>
          <w:highlight w:val="none"/>
          <w14:textFill>
            <w14:solidFill>
              <w14:schemeClr w14:val="tx1"/>
            </w14:solidFill>
          </w14:textFill>
        </w:rPr>
        <w:t>识别</w:t>
      </w:r>
      <w:r>
        <w:rPr>
          <w:rFonts w:hint="eastAsia" w:ascii="宋体" w:hAnsi="宋体" w:cs="宋体"/>
          <w:bCs/>
          <w:color w:val="000000" w:themeColor="text1"/>
          <w:sz w:val="24"/>
          <w:szCs w:val="24"/>
          <w:highlight w:val="none"/>
          <w14:textFill>
            <w14:solidFill>
              <w14:schemeClr w14:val="tx1"/>
            </w14:solidFill>
          </w14:textFill>
        </w:rPr>
        <w:t>信息包括</w:t>
      </w:r>
      <w:r>
        <w:rPr>
          <w:rFonts w:hint="eastAsia" w:ascii="宋体" w:hAnsi="宋体" w:cs="宋体"/>
          <w:bCs/>
          <w:color w:val="000000" w:themeColor="text1"/>
          <w:sz w:val="24"/>
          <w:highlight w:val="none"/>
          <w14:textFill>
            <w14:solidFill>
              <w14:schemeClr w14:val="tx1"/>
            </w14:solidFill>
          </w14:textFill>
        </w:rPr>
        <w:t>但不限于</w:t>
      </w:r>
      <w:r>
        <w:rPr>
          <w:rFonts w:hint="eastAsia" w:ascii="宋体" w:hAnsi="宋体" w:cs="宋体"/>
          <w:bCs/>
          <w:color w:val="000000" w:themeColor="text1"/>
          <w:sz w:val="24"/>
          <w:szCs w:val="24"/>
          <w:highlight w:val="none"/>
          <w14:textFill>
            <w14:solidFill>
              <w14:schemeClr w14:val="tx1"/>
            </w14:solidFill>
          </w14:textFill>
        </w:rPr>
        <w:t>：投资者的姓名、性别、国籍、职业、住所地或者工作单位地址、</w:t>
      </w:r>
      <w:r>
        <w:rPr>
          <w:rFonts w:hint="eastAsia" w:ascii="宋体" w:hAnsi="宋体" w:cs="宋体"/>
          <w:bCs/>
          <w:color w:val="000000" w:themeColor="text1"/>
          <w:sz w:val="24"/>
          <w:highlight w:val="none"/>
          <w14:textFill>
            <w14:solidFill>
              <w14:schemeClr w14:val="tx1"/>
            </w14:solidFill>
          </w14:textFill>
        </w:rPr>
        <w:t>常居地地址、</w:t>
      </w:r>
      <w:r>
        <w:rPr>
          <w:rFonts w:hint="eastAsia" w:ascii="宋体" w:hAnsi="宋体" w:cs="宋体"/>
          <w:bCs/>
          <w:color w:val="000000" w:themeColor="text1"/>
          <w:sz w:val="24"/>
          <w:szCs w:val="24"/>
          <w:highlight w:val="none"/>
          <w14:textFill>
            <w14:solidFill>
              <w14:schemeClr w14:val="tx1"/>
            </w14:solidFill>
          </w14:textFill>
        </w:rPr>
        <w:t>联系方式、身份证明文件的种类、号码和有效期限</w:t>
      </w:r>
      <w:r>
        <w:rPr>
          <w:rFonts w:hint="eastAsia" w:ascii="宋体" w:hAnsi="宋体" w:cs="宋体"/>
          <w:bCs/>
          <w:color w:val="000000" w:themeColor="text1"/>
          <w:sz w:val="24"/>
          <w:highlight w:val="none"/>
          <w14:textFill>
            <w14:solidFill>
              <w14:schemeClr w14:val="tx1"/>
            </w14:solidFill>
          </w14:textFill>
        </w:rPr>
        <w:t>、代理人信息、受益所有人信息</w:t>
      </w:r>
      <w:r>
        <w:rPr>
          <w:rFonts w:hint="eastAsia" w:ascii="宋体" w:hAnsi="宋体" w:cs="宋体"/>
          <w:bCs/>
          <w:color w:val="000000" w:themeColor="text1"/>
          <w:sz w:val="24"/>
          <w:szCs w:val="24"/>
          <w:highlight w:val="none"/>
          <w14:textFill>
            <w14:solidFill>
              <w14:schemeClr w14:val="tx1"/>
            </w14:solidFill>
          </w14:textFill>
        </w:rPr>
        <w:t>），以及</w:t>
      </w:r>
      <w:r>
        <w:rPr>
          <w:rFonts w:hint="eastAsia" w:ascii="宋体" w:hAnsi="宋体" w:cs="宋体"/>
          <w:bCs/>
          <w:color w:val="000000" w:themeColor="text1"/>
          <w:sz w:val="24"/>
          <w:highlight w:val="none"/>
          <w14:textFill>
            <w14:solidFill>
              <w14:schemeClr w14:val="tx1"/>
            </w14:solidFill>
          </w14:textFill>
        </w:rPr>
        <w:t>在合法、合理且必要时进一步提供</w:t>
      </w:r>
      <w:r>
        <w:rPr>
          <w:rFonts w:hint="eastAsia" w:ascii="宋体" w:hAnsi="宋体" w:cs="宋体"/>
          <w:bCs/>
          <w:color w:val="000000" w:themeColor="text1"/>
          <w:sz w:val="24"/>
          <w:szCs w:val="24"/>
          <w:highlight w:val="none"/>
          <w14:textFill>
            <w14:solidFill>
              <w14:schemeClr w14:val="tx1"/>
            </w14:solidFill>
          </w14:textFill>
        </w:rPr>
        <w:t>身份证明文件的复印件和影印件</w:t>
      </w:r>
      <w:r>
        <w:rPr>
          <w:rFonts w:hint="eastAsia" w:ascii="宋体" w:hAnsi="宋体" w:cs="宋体"/>
          <w:bCs/>
          <w:color w:val="000000" w:themeColor="text1"/>
          <w:sz w:val="24"/>
          <w:highlight w:val="none"/>
          <w14:textFill>
            <w14:solidFill>
              <w14:schemeClr w14:val="tx1"/>
            </w14:solidFill>
          </w14:textFill>
        </w:rPr>
        <w:t>以及其他必要信息</w:t>
      </w:r>
      <w:r>
        <w:rPr>
          <w:rFonts w:hint="eastAsia" w:ascii="宋体" w:hAnsi="宋体" w:cs="宋体"/>
          <w:bCs/>
          <w:color w:val="000000" w:themeColor="text1"/>
          <w:sz w:val="24"/>
          <w:szCs w:val="24"/>
          <w:highlight w:val="none"/>
          <w14:textFill>
            <w14:solidFill>
              <w14:schemeClr w14:val="tx1"/>
            </w14:solidFill>
          </w14:textFill>
        </w:rPr>
        <w:t>。投资者签署</w:t>
      </w:r>
      <w:r>
        <w:rPr>
          <w:rFonts w:hint="eastAsia" w:ascii="宋体" w:hAnsi="宋体" w:cs="宋体"/>
          <w:bCs/>
          <w:color w:val="000000" w:themeColor="text1"/>
          <w:sz w:val="24"/>
          <w:highlight w:val="none"/>
          <w14:textFill>
            <w14:solidFill>
              <w14:schemeClr w14:val="tx1"/>
            </w14:solidFill>
          </w14:textFill>
        </w:rPr>
        <w:t>后</w:t>
      </w:r>
      <w:r>
        <w:rPr>
          <w:rFonts w:hint="eastAsia" w:ascii="宋体" w:hAnsi="宋体" w:cs="宋体"/>
          <w:bCs/>
          <w:color w:val="000000" w:themeColor="text1"/>
          <w:sz w:val="24"/>
          <w:szCs w:val="24"/>
          <w:highlight w:val="none"/>
          <w14:textFill>
            <w14:solidFill>
              <w14:schemeClr w14:val="tx1"/>
            </w14:solidFill>
          </w14:textFill>
        </w:rPr>
        <w:t>即表示同意并配合提供前述信</w:t>
      </w:r>
      <w:r>
        <w:rPr>
          <w:rFonts w:hint="eastAsia" w:ascii="宋体" w:hAnsi="宋体" w:cs="宋体"/>
          <w:bCs/>
          <w:color w:val="000000" w:themeColor="text1"/>
          <w:sz w:val="24"/>
          <w:highlight w:val="none"/>
          <w14:textFill>
            <w14:solidFill>
              <w14:schemeClr w14:val="tx1"/>
            </w14:solidFill>
          </w14:textFill>
        </w:rPr>
        <w:t>息。</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p>
    <w:p>
      <w:pPr>
        <w:spacing w:line="360" w:lineRule="auto"/>
        <w:ind w:firstLine="480" w:firstLineChars="200"/>
        <w:jc w:val="right"/>
        <w:rPr>
          <w:rFonts w:hint="eastAsia"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风险提示方：杭银理财有限责任公司</w:t>
      </w:r>
    </w:p>
    <w:p>
      <w:pPr>
        <w:pStyle w:val="17"/>
        <w:spacing w:line="360" w:lineRule="auto"/>
        <w:ind w:firstLine="482" w:firstLineChars="200"/>
        <w:jc w:val="center"/>
        <w:outlineLvl w:val="1"/>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投资者确认栏（个人投资者填写）</w:t>
      </w:r>
    </w:p>
    <w:p>
      <w:pPr>
        <w:pStyle w:val="17"/>
        <w:spacing w:line="360" w:lineRule="auto"/>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本人经销售机构评估的风险承受能力等级为（投资者填写）：</w:t>
      </w:r>
    </w:p>
    <w:p>
      <w:pPr>
        <w:pStyle w:val="17"/>
        <w:spacing w:line="360" w:lineRule="auto"/>
        <w:ind w:firstLine="480" w:firstLineChars="200"/>
        <w:jc w:val="both"/>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□保守型       □稳健型       □平衡型       □成长型       □进取型  </w:t>
      </w:r>
    </w:p>
    <w:p>
      <w:pPr>
        <w:pStyle w:val="17"/>
        <w:spacing w:line="360" w:lineRule="auto"/>
        <w:ind w:firstLine="480" w:firstLineChars="200"/>
        <w:jc w:val="both"/>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如超过一年未进行</w:t>
      </w:r>
      <w:r>
        <w:rPr>
          <w:rFonts w:hint="eastAsia" w:ascii="宋体" w:hAnsi="宋体" w:cs="宋体"/>
          <w:b w:val="0"/>
          <w:bCs w:val="0"/>
          <w:color w:val="000000" w:themeColor="text1"/>
          <w:highlight w:val="none"/>
          <w:u w:val="single"/>
          <w14:textFill>
            <w14:solidFill>
              <w14:schemeClr w14:val="tx1"/>
            </w14:solidFill>
          </w14:textFill>
        </w:rPr>
        <w:t>风险</w:t>
      </w:r>
      <w:r>
        <w:rPr>
          <w:rFonts w:hint="eastAsia" w:ascii="宋体" w:hAnsi="宋体" w:cs="宋体"/>
          <w:color w:val="000000" w:themeColor="text1"/>
          <w:highlight w:val="none"/>
          <w:u w:val="single"/>
          <w14:textFill>
            <w14:solidFill>
              <w14:schemeClr w14:val="tx1"/>
            </w14:solidFill>
          </w14:textFill>
        </w:rPr>
        <w:t>承受能力评估或影响本人风险承受能力的因素发生变化，本人将于再次购买理财</w:t>
      </w:r>
      <w:r>
        <w:rPr>
          <w:rFonts w:hint="eastAsia" w:ascii="宋体" w:hAnsi="宋体" w:cs="宋体"/>
          <w:color w:val="000000" w:themeColor="text1"/>
          <w:highlight w:val="none"/>
          <w:u w:val="single"/>
          <w:lang w:eastAsia="zh-CN"/>
          <w14:textFill>
            <w14:solidFill>
              <w14:schemeClr w14:val="tx1"/>
            </w14:solidFill>
          </w14:textFill>
        </w:rPr>
        <w:t>计划</w:t>
      </w:r>
      <w:r>
        <w:rPr>
          <w:rFonts w:hint="eastAsia" w:ascii="宋体" w:hAnsi="宋体" w:cs="宋体"/>
          <w:color w:val="000000" w:themeColor="text1"/>
          <w:highlight w:val="none"/>
          <w:u w:val="single"/>
          <w14:textFill>
            <w14:solidFill>
              <w14:schemeClr w14:val="tx1"/>
            </w14:solidFill>
          </w14:textFill>
        </w:rPr>
        <w:t>时及时完成风险承受能力评估。</w:t>
      </w:r>
    </w:p>
    <w:p>
      <w:pPr>
        <w:pStyle w:val="17"/>
        <w:spacing w:line="360" w:lineRule="auto"/>
        <w:ind w:firstLine="482" w:firstLineChars="200"/>
        <w:jc w:val="both"/>
        <w:rPr>
          <w:rFonts w:hint="eastAsia"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u w:val="single"/>
          <w14:textFill>
            <w14:solidFill>
              <w14:schemeClr w14:val="tx1"/>
            </w14:solidFill>
          </w14:textFill>
        </w:rPr>
        <w:t>声明：本人已经认真阅读本风险揭示书以及《理财计划产品说明书》《投资者权益须知》《理财计划投资协议书》</w:t>
      </w:r>
      <w:r>
        <w:rPr>
          <w:rFonts w:hint="eastAsia" w:ascii="宋体" w:hAnsi="宋体" w:cs="宋体"/>
          <w:b/>
          <w:bCs/>
          <w:color w:val="000000" w:themeColor="text1"/>
          <w:highlight w:val="none"/>
          <w:u w:val="single"/>
          <w:lang w:eastAsia="zh-CN"/>
          <w14:textFill>
            <w14:solidFill>
              <w14:schemeClr w14:val="tx1"/>
            </w14:solidFill>
          </w14:textFill>
        </w:rPr>
        <w:t>《理财计划销售协议书》</w:t>
      </w:r>
      <w:r>
        <w:rPr>
          <w:rFonts w:hint="eastAsia" w:ascii="宋体" w:hAnsi="宋体" w:cs="宋体"/>
          <w:b/>
          <w:bCs/>
          <w:color w:val="000000" w:themeColor="text1"/>
          <w:highlight w:val="none"/>
          <w:u w:val="single"/>
          <w14:textFill>
            <w14:solidFill>
              <w14:schemeClr w14:val="tx1"/>
            </w14:solidFill>
          </w14:textFill>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themeColor="text1"/>
          <w:highlight w:val="none"/>
          <w:u w:val="single"/>
          <w:lang w:eastAsia="zh-CN"/>
          <w14:textFill>
            <w14:solidFill>
              <w14:schemeClr w14:val="tx1"/>
            </w14:solidFill>
          </w14:textFill>
        </w:rPr>
        <w:t>《理财计划销售协议书》</w:t>
      </w:r>
      <w:r>
        <w:rPr>
          <w:rFonts w:hint="eastAsia" w:ascii="宋体" w:hAnsi="宋体" w:cs="宋体"/>
          <w:b/>
          <w:bCs/>
          <w:color w:val="000000" w:themeColor="text1"/>
          <w:highlight w:val="none"/>
          <w:u w:val="single"/>
          <w14:textFill>
            <w14:solidFill>
              <w14:schemeClr w14:val="tx1"/>
            </w14:solidFill>
          </w14:textFill>
        </w:rPr>
        <w:t>等本</w:t>
      </w:r>
      <w:r>
        <w:rPr>
          <w:rFonts w:hint="eastAsia" w:ascii="宋体" w:hAnsi="宋体" w:cs="宋体"/>
          <w:b/>
          <w:bCs/>
          <w:color w:val="000000" w:themeColor="text1"/>
          <w:highlight w:val="none"/>
          <w:u w:val="single"/>
          <w:lang w:eastAsia="zh-CN"/>
          <w14:textFill>
            <w14:solidFill>
              <w14:schemeClr w14:val="tx1"/>
            </w14:solidFill>
          </w14:textFill>
        </w:rPr>
        <w:t>理财计划</w:t>
      </w:r>
      <w:r>
        <w:rPr>
          <w:rFonts w:hint="eastAsia" w:ascii="宋体" w:hAnsi="宋体" w:cs="宋体"/>
          <w:b/>
          <w:bCs/>
          <w:color w:val="000000" w:themeColor="text1"/>
          <w:highlight w:val="none"/>
          <w:u w:val="single"/>
          <w14:textFill>
            <w14:solidFill>
              <w14:schemeClr w14:val="tx1"/>
            </w14:solidFill>
          </w14:textFill>
        </w:rPr>
        <w:t>合同全部内容，自愿且有能力承担投资本理财</w:t>
      </w:r>
      <w:r>
        <w:rPr>
          <w:rFonts w:hint="eastAsia" w:ascii="宋体" w:hAnsi="宋体" w:cs="宋体"/>
          <w:b/>
          <w:bCs/>
          <w:color w:val="000000" w:themeColor="text1"/>
          <w:highlight w:val="none"/>
          <w:u w:val="single"/>
          <w:lang w:eastAsia="zh-CN"/>
          <w14:textFill>
            <w14:solidFill>
              <w14:schemeClr w14:val="tx1"/>
            </w14:solidFill>
          </w14:textFill>
        </w:rPr>
        <w:t>计划</w:t>
      </w:r>
      <w:r>
        <w:rPr>
          <w:rFonts w:hint="eastAsia" w:ascii="宋体" w:hAnsi="宋体" w:cs="宋体"/>
          <w:b/>
          <w:bCs/>
          <w:color w:val="000000" w:themeColor="text1"/>
          <w:highlight w:val="none"/>
          <w:u w:val="single"/>
          <w14:textFill>
            <w14:solidFill>
              <w14:schemeClr w14:val="tx1"/>
            </w14:solidFill>
          </w14:textFill>
        </w:rPr>
        <w:t>的风险。</w:t>
      </w:r>
    </w:p>
    <w:p>
      <w:pPr>
        <w:pStyle w:val="17"/>
        <w:spacing w:line="360" w:lineRule="auto"/>
        <w:ind w:firstLine="482" w:firstLineChars="200"/>
        <w:jc w:val="both"/>
        <w:rPr>
          <w:rFonts w:hint="eastAsia"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u w:val="single"/>
          <w14:textFill>
            <w14:solidFill>
              <w14:schemeClr w14:val="tx1"/>
            </w14:solidFill>
          </w14:textFill>
        </w:rPr>
        <w:t>本人购买本理财</w:t>
      </w:r>
      <w:r>
        <w:rPr>
          <w:rFonts w:hint="eastAsia" w:ascii="宋体" w:hAnsi="宋体" w:cs="宋体"/>
          <w:b/>
          <w:bCs/>
          <w:color w:val="000000" w:themeColor="text1"/>
          <w:highlight w:val="none"/>
          <w:u w:val="single"/>
          <w:lang w:eastAsia="zh-CN"/>
          <w14:textFill>
            <w14:solidFill>
              <w14:schemeClr w14:val="tx1"/>
            </w14:solidFill>
          </w14:textFill>
        </w:rPr>
        <w:t>计划</w:t>
      </w:r>
      <w:r>
        <w:rPr>
          <w:rFonts w:hint="eastAsia" w:ascii="宋体" w:hAnsi="宋体" w:cs="宋体"/>
          <w:b/>
          <w:bCs/>
          <w:color w:val="000000" w:themeColor="text1"/>
          <w:highlight w:val="none"/>
          <w:u w:val="single"/>
          <w14:textFill>
            <w14:solidFill>
              <w14:schemeClr w14:val="tx1"/>
            </w14:solidFill>
          </w14:textFill>
        </w:rPr>
        <w:t>的资金为合法自有资金，不存在使用借款、贷款等非自有资金的情形；且系为合法目的投资本理财</w:t>
      </w:r>
      <w:r>
        <w:rPr>
          <w:rFonts w:hint="eastAsia" w:ascii="宋体" w:hAnsi="宋体" w:cs="宋体"/>
          <w:b/>
          <w:bCs/>
          <w:color w:val="000000" w:themeColor="text1"/>
          <w:highlight w:val="none"/>
          <w:u w:val="single"/>
          <w:lang w:eastAsia="zh-CN"/>
          <w14:textFill>
            <w14:solidFill>
              <w14:schemeClr w14:val="tx1"/>
            </w14:solidFill>
          </w14:textFill>
        </w:rPr>
        <w:t>计划</w:t>
      </w:r>
      <w:r>
        <w:rPr>
          <w:rFonts w:hint="eastAsia" w:ascii="宋体" w:hAnsi="宋体" w:cs="宋体"/>
          <w:b/>
          <w:bCs/>
          <w:color w:val="000000" w:themeColor="text1"/>
          <w:highlight w:val="none"/>
          <w:u w:val="single"/>
          <w14:textFill>
            <w14:solidFill>
              <w14:schemeClr w14:val="tx1"/>
            </w14:solidFill>
          </w14:textFill>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（投资者需全文抄录以下文字以完成确认：</w:t>
      </w:r>
      <w:r>
        <w:rPr>
          <w:rFonts w:hint="eastAsia" w:ascii="宋体" w:hAnsi="宋体" w:cs="宋体"/>
          <w:b/>
          <w:color w:val="000000" w:themeColor="text1"/>
          <w:highlight w:val="none"/>
          <w14:textFill>
            <w14:solidFill>
              <w14:schemeClr w14:val="tx1"/>
            </w14:solidFill>
          </w14:textFill>
        </w:rPr>
        <w:t>“本人已经阅读上述风险揭示，愿意承担投资风险。”</w:t>
      </w:r>
      <w:r>
        <w:rPr>
          <w:rFonts w:hint="eastAsia" w:ascii="宋体" w:hAnsi="宋体" w:cs="宋体"/>
          <w:b/>
          <w:color w:val="000000" w:themeColor="text1"/>
          <w:highlight w:val="none"/>
          <w:lang w:eastAsia="zh-CN"/>
          <w14:textFill>
            <w14:solidFill>
              <w14:schemeClr w14:val="tx1"/>
            </w14:solidFill>
          </w14:textFill>
        </w:rPr>
        <w:t>如通过线上渠道购买，认</w:t>
      </w:r>
      <w:r>
        <w:rPr>
          <w:rFonts w:hint="eastAsia" w:ascii="宋体" w:hAnsi="宋体" w:cs="宋体"/>
          <w:b/>
          <w:color w:val="000000" w:themeColor="text1"/>
          <w:highlight w:val="none"/>
          <w:lang w:val="en-US" w:eastAsia="zh-CN"/>
          <w14:textFill>
            <w14:solidFill>
              <w14:schemeClr w14:val="tx1"/>
            </w14:solidFill>
          </w14:textFill>
        </w:rPr>
        <w:t>/申购交易确认即视为投资者同意自身风险承受能力等级并确认风险揭示内容，愿意承担投资风险，与书面签署具有同等效力。</w:t>
      </w:r>
      <w:r>
        <w:rPr>
          <w:rFonts w:hint="eastAsia" w:ascii="宋体" w:hAnsi="宋体" w:cs="宋体"/>
          <w:b/>
          <w:color w:val="000000" w:themeColor="text1"/>
          <w:highlight w:val="none"/>
          <w14:textFill>
            <w14:solidFill>
              <w14:schemeClr w14:val="tx1"/>
            </w14:solidFill>
          </w14:textFill>
        </w:rPr>
        <w:t xml:space="preserve">） </w:t>
      </w:r>
    </w:p>
    <w:p>
      <w:pPr>
        <w:pStyle w:val="17"/>
        <w:spacing w:line="360" w:lineRule="auto"/>
        <w:jc w:val="both"/>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本人同时确认如下：</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kern w:val="0"/>
          <w:sz w:val="24"/>
          <w:highlight w:val="none"/>
          <w14:textFill>
            <w14:solidFill>
              <w14:schemeClr w14:val="tx1"/>
            </w14:solidFill>
          </w14:textFill>
        </w:rPr>
      </w:pP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确认人（签字）：</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日期：</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w:t>
      </w:r>
    </w:p>
    <w:p>
      <w:pPr>
        <w:pStyle w:val="17"/>
        <w:spacing w:line="360" w:lineRule="auto"/>
        <w:ind w:firstLine="482" w:firstLineChars="200"/>
        <w:jc w:val="center"/>
        <w:rPr>
          <w:rFonts w:hint="eastAsia" w:ascii="宋体" w:hAnsi="宋体" w:eastAsia="宋体" w:cs="宋体"/>
          <w:b/>
          <w:bCs/>
          <w:color w:val="000000" w:themeColor="text1"/>
          <w:highlight w:val="none"/>
          <w:u w:val="none"/>
          <w14:textFill>
            <w14:solidFill>
              <w14:schemeClr w14:val="tx1"/>
            </w14:solidFill>
          </w14:textFill>
        </w:rPr>
      </w:pPr>
    </w:p>
    <w:p>
      <w:pPr>
        <w:pStyle w:val="17"/>
        <w:spacing w:line="360" w:lineRule="auto"/>
        <w:ind w:firstLine="482" w:firstLineChars="200"/>
        <w:jc w:val="center"/>
        <w:rPr>
          <w:rFonts w:hint="eastAsia" w:ascii="宋体" w:hAnsi="宋体" w:eastAsia="宋体" w:cs="宋体"/>
          <w:b/>
          <w:bCs/>
          <w:color w:val="000000" w:themeColor="text1"/>
          <w:highlight w:val="none"/>
          <w:u w:val="none"/>
          <w14:textFill>
            <w14:solidFill>
              <w14:schemeClr w14:val="tx1"/>
            </w14:solidFill>
          </w14:textFill>
        </w:rPr>
      </w:pPr>
    </w:p>
    <w:p>
      <w:pPr>
        <w:pStyle w:val="17"/>
        <w:spacing w:line="360" w:lineRule="auto"/>
        <w:ind w:firstLine="482" w:firstLineChars="200"/>
        <w:jc w:val="center"/>
        <w:rPr>
          <w:rFonts w:hint="eastAsia" w:ascii="宋体" w:hAnsi="宋体" w:eastAsia="宋体" w:cs="宋体"/>
          <w:b/>
          <w:bCs/>
          <w:color w:val="000000" w:themeColor="text1"/>
          <w:highlight w:val="none"/>
          <w:u w:val="none"/>
          <w14:textFill>
            <w14:solidFill>
              <w14:schemeClr w14:val="tx1"/>
            </w14:solidFill>
          </w14:textFill>
        </w:rPr>
      </w:pPr>
    </w:p>
    <w:p>
      <w:pPr>
        <w:pStyle w:val="17"/>
        <w:spacing w:line="360" w:lineRule="auto"/>
        <w:ind w:firstLine="482" w:firstLineChars="200"/>
        <w:jc w:val="center"/>
        <w:rPr>
          <w:rFonts w:hint="eastAsia" w:ascii="宋体" w:hAnsi="宋体" w:eastAsia="宋体" w:cs="宋体"/>
          <w:b/>
          <w:bCs/>
          <w:color w:val="000000" w:themeColor="text1"/>
          <w:highlight w:val="none"/>
          <w:u w:val="none"/>
          <w14:textFill>
            <w14:solidFill>
              <w14:schemeClr w14:val="tx1"/>
            </w14:solidFill>
          </w14:textFill>
        </w:rPr>
      </w:pPr>
    </w:p>
    <w:p>
      <w:pPr>
        <w:pStyle w:val="17"/>
        <w:spacing w:line="360" w:lineRule="auto"/>
        <w:ind w:firstLine="482" w:firstLineChars="200"/>
        <w:jc w:val="center"/>
        <w:rPr>
          <w:rFonts w:hint="eastAsia" w:ascii="宋体" w:hAnsi="宋体" w:eastAsia="宋体" w:cs="宋体"/>
          <w:b/>
          <w:bCs/>
          <w:color w:val="000000" w:themeColor="text1"/>
          <w:highlight w:val="none"/>
          <w:u w:val="none"/>
          <w14:textFill>
            <w14:solidFill>
              <w14:schemeClr w14:val="tx1"/>
            </w14:solidFill>
          </w14:textFill>
        </w:rPr>
      </w:pPr>
    </w:p>
    <w:p>
      <w:pPr>
        <w:pStyle w:val="17"/>
        <w:spacing w:line="360" w:lineRule="auto"/>
        <w:ind w:firstLine="482" w:firstLineChars="200"/>
        <w:jc w:val="center"/>
        <w:outlineLvl w:val="1"/>
        <w:rPr>
          <w:rFonts w:hint="eastAsia" w:ascii="宋体" w:hAnsi="宋体" w:eastAsia="宋体" w:cs="宋体"/>
          <w:b/>
          <w:bCs/>
          <w:color w:val="000000" w:themeColor="text1"/>
          <w:highlight w:val="none"/>
          <w:u w:val="none"/>
          <w14:textFill>
            <w14:solidFill>
              <w14:schemeClr w14:val="tx1"/>
            </w14:solidFill>
          </w14:textFill>
        </w:rPr>
      </w:pPr>
      <w:r>
        <w:rPr>
          <w:rFonts w:hint="eastAsia" w:ascii="宋体" w:hAnsi="宋体" w:eastAsia="宋体" w:cs="宋体"/>
          <w:b/>
          <w:bCs/>
          <w:color w:val="000000" w:themeColor="text1"/>
          <w:highlight w:val="none"/>
          <w:u w:val="none"/>
          <w14:textFill>
            <w14:solidFill>
              <w14:schemeClr w14:val="tx1"/>
            </w14:solidFill>
          </w14:textFill>
        </w:rPr>
        <w:t>投资者确认栏（机构投资者）</w:t>
      </w:r>
    </w:p>
    <w:p>
      <w:pPr>
        <w:pStyle w:val="17"/>
        <w:spacing w:line="360" w:lineRule="auto"/>
        <w:ind w:firstLine="482" w:firstLineChars="200"/>
        <w:jc w:val="both"/>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themeColor="text1"/>
          <w:highlight w:val="none"/>
          <w:u w:val="single"/>
          <w:lang w:val="en-US" w:eastAsia="zh-CN"/>
          <w14:textFill>
            <w14:solidFill>
              <w14:schemeClr w14:val="tx1"/>
            </w14:solidFill>
          </w14:textFill>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jc w:val="both"/>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p>
    <w:p>
      <w:pPr>
        <w:pStyle w:val="17"/>
        <w:spacing w:line="360" w:lineRule="auto"/>
        <w:ind w:firstLine="480" w:firstLineChars="200"/>
        <w:jc w:val="right"/>
        <w:rPr>
          <w:rFonts w:hint="eastAsia" w:ascii="宋体" w:hAnsi="宋体" w:eastAsia="宋体" w:cs="宋体"/>
          <w:b w:val="0"/>
          <w:bCs w:val="0"/>
          <w:color w:val="000000" w:themeColor="text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日期：</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日</w:t>
      </w:r>
    </w:p>
    <w:p>
      <w:pPr>
        <w:pStyle w:val="17"/>
        <w:spacing w:line="360" w:lineRule="auto"/>
        <w:ind w:firstLine="482" w:firstLineChars="200"/>
        <w:jc w:val="both"/>
        <w:rPr>
          <w:rFonts w:hint="eastAsia" w:ascii="宋体" w:hAnsi="宋体" w:eastAsia="宋体" w:cs="宋体"/>
          <w:b/>
          <w:bCs/>
          <w:color w:val="000000" w:themeColor="text1"/>
          <w:highlight w:val="none"/>
          <w:u w:val="none"/>
          <w:lang w:val="en-US" w:eastAsia="zh-CN"/>
          <w14:textFill>
            <w14:solidFill>
              <w14:schemeClr w14:val="tx1"/>
            </w14:solidFill>
          </w14:textFill>
        </w:rPr>
      </w:pPr>
    </w:p>
    <w:p>
      <w:pPr>
        <w:pStyle w:val="17"/>
        <w:spacing w:line="360" w:lineRule="auto"/>
        <w:ind w:firstLine="482" w:firstLineChars="200"/>
        <w:jc w:val="both"/>
        <w:rPr>
          <w:rFonts w:hint="eastAsia" w:ascii="宋体" w:hAnsi="宋体" w:eastAsia="宋体" w:cs="宋体"/>
          <w:b/>
          <w:bCs/>
          <w:color w:val="000000" w:themeColor="text1"/>
          <w:highlight w:val="none"/>
          <w:u w:val="single"/>
          <w:lang w:val="en-US" w:eastAsia="zh-CN"/>
          <w14:textFill>
            <w14:solidFill>
              <w14:schemeClr w14:val="tx1"/>
            </w14:solidFill>
          </w14:textFill>
        </w:rPr>
      </w:pPr>
    </w:p>
    <w:p>
      <w:pPr>
        <w:jc w:val="center"/>
        <w:outlineLvl w:val="0"/>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br w:type="page"/>
      </w:r>
      <w:r>
        <w:rPr>
          <w:rFonts w:hint="eastAsia" w:ascii="宋体" w:hAnsi="宋体" w:cs="宋体"/>
          <w:b/>
          <w:bCs/>
          <w:color w:val="000000" w:themeColor="text1"/>
          <w:sz w:val="44"/>
          <w:szCs w:val="44"/>
          <w:highlight w:val="none"/>
          <w:lang w:eastAsia="zh-CN"/>
          <w14:textFill>
            <w14:solidFill>
              <w14:schemeClr w14:val="tx1"/>
            </w14:solidFill>
          </w14:textFill>
        </w:rPr>
        <w:t>幸福99添益(安享优选)7天持有期8期理财</w:t>
      </w:r>
      <w:r>
        <w:rPr>
          <w:rFonts w:hint="eastAsia" w:ascii="宋体" w:hAnsi="宋体" w:cs="宋体"/>
          <w:b/>
          <w:bCs/>
          <w:color w:val="000000" w:themeColor="text1"/>
          <w:sz w:val="44"/>
          <w:szCs w:val="44"/>
          <w:highlight w:val="none"/>
          <w14:textFill>
            <w14:solidFill>
              <w14:schemeClr w14:val="tx1"/>
            </w14:solidFill>
          </w14:textFill>
        </w:rPr>
        <w:t>产品说明书</w:t>
      </w:r>
    </w:p>
    <w:p>
      <w:pPr>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202501</w:t>
      </w:r>
      <w:r>
        <w:rPr>
          <w:rFonts w:hint="eastAsia" w:ascii="宋体" w:hAnsi="宋体" w:cs="宋体"/>
          <w:color w:val="000000" w:themeColor="text1"/>
          <w:sz w:val="28"/>
          <w:szCs w:val="28"/>
          <w:highlight w:val="none"/>
          <w14:textFill>
            <w14:solidFill>
              <w14:schemeClr w14:val="tx1"/>
            </w14:solidFill>
          </w14:textFill>
        </w:rPr>
        <w:t>版）</w:t>
      </w:r>
    </w:p>
    <w:p>
      <w:pPr>
        <w:spacing w:line="360" w:lineRule="auto"/>
        <w:jc w:val="righ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备案编号:</w:t>
      </w:r>
      <w:r>
        <w:rPr>
          <w:rFonts w:hint="eastAsia" w:ascii="宋体" w:hAnsi="宋体" w:cs="宋体"/>
          <w:bCs/>
          <w:color w:val="000000" w:themeColor="text1"/>
          <w:sz w:val="24"/>
          <w:highlight w:val="none"/>
          <w14:textFill>
            <w14:solidFill>
              <w14:schemeClr w14:val="tx1"/>
            </w14:solidFill>
          </w14:textFill>
        </w:rPr>
        <w:t>〖Z7002225000115〗</w:t>
      </w:r>
    </w:p>
    <w:p>
      <w:pPr>
        <w:spacing w:line="360" w:lineRule="auto"/>
        <w:jc w:val="center"/>
        <w:rPr>
          <w:rFonts w:hint="eastAsia" w:ascii="宋体" w:hAnsi="宋体" w:cs="宋体"/>
          <w:bCs/>
          <w:color w:val="000000" w:themeColor="text1"/>
          <w:sz w:val="24"/>
          <w:highlight w:val="none"/>
          <w14:textFill>
            <w14:solidFill>
              <w14:schemeClr w14:val="tx1"/>
            </w14:solidFill>
          </w14:textFill>
        </w:rPr>
      </w:pPr>
    </w:p>
    <w:p>
      <w:pPr>
        <w:numPr>
          <w:ilvl w:val="0"/>
          <w:numId w:val="9"/>
        </w:numPr>
        <w:spacing w:line="360" w:lineRule="auto"/>
        <w:ind w:firstLine="482" w:firstLineChars="20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重要须知</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本理财计划是非保本净值型产品。管理人对本理财计划的本金和收益不提供保证承诺。</w:t>
      </w:r>
      <w:r>
        <w:rPr>
          <w:rFonts w:hint="eastAsia" w:ascii="宋体" w:hAnsi="宋体" w:cs="宋体"/>
          <w:bCs/>
          <w:color w:val="000000" w:themeColor="text1"/>
          <w:sz w:val="24"/>
          <w:highlight w:val="none"/>
          <w14:textFill>
            <w14:solidFill>
              <w14:schemeClr w14:val="tx1"/>
            </w14:solidFill>
          </w14:textFill>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color w:val="000000" w:themeColor="text1"/>
          <w:sz w:val="24"/>
          <w:highlight w:val="none"/>
          <w:lang w:eastAsia="zh-CN"/>
          <w14:textFill>
            <w14:solidFill>
              <w14:schemeClr w14:val="tx1"/>
            </w14:solidFill>
          </w14:textFill>
        </w:rPr>
        <w:t>理财计划</w:t>
      </w:r>
      <w:r>
        <w:rPr>
          <w:rFonts w:hint="eastAsia" w:ascii="宋体" w:hAnsi="宋体" w:cs="宋体"/>
          <w:bCs/>
          <w:color w:val="000000" w:themeColor="text1"/>
          <w:sz w:val="24"/>
          <w:highlight w:val="none"/>
          <w14:textFill>
            <w14:solidFill>
              <w14:schemeClr w14:val="tx1"/>
            </w14:solidFill>
          </w14:textFill>
        </w:rPr>
        <w:t>风险揭示书》《投资者权益须知》《理财计划投资协议书》</w:t>
      </w:r>
      <w:r>
        <w:rPr>
          <w:rFonts w:hint="eastAsia" w:ascii="宋体" w:hAnsi="宋体" w:cs="宋体"/>
          <w:bCs/>
          <w:color w:val="000000" w:themeColor="text1"/>
          <w:sz w:val="24"/>
          <w:highlight w:val="none"/>
          <w:lang w:eastAsia="zh-CN"/>
          <w14:textFill>
            <w14:solidFill>
              <w14:schemeClr w14:val="tx1"/>
            </w14:solidFill>
          </w14:textFill>
        </w:rPr>
        <w:t>《理财计划销售协议书》</w:t>
      </w:r>
      <w:r>
        <w:rPr>
          <w:rFonts w:hint="eastAsia" w:ascii="宋体" w:hAnsi="宋体" w:cs="宋体"/>
          <w:bCs/>
          <w:color w:val="000000" w:themeColor="text1"/>
          <w:sz w:val="24"/>
          <w:highlight w:val="none"/>
          <w14:textFill>
            <w14:solidFill>
              <w14:schemeClr w14:val="tx1"/>
            </w14:solidFill>
          </w14:textFill>
        </w:rPr>
        <w:t>，将共同构成投资者与管理人之间的理财计划</w:t>
      </w:r>
      <w:r>
        <w:rPr>
          <w:rFonts w:hint="eastAsia" w:ascii="宋体" w:hAnsi="宋体" w:cs="宋体"/>
          <w:bCs/>
          <w:color w:val="000000" w:themeColor="text1"/>
          <w:sz w:val="24"/>
          <w:highlight w:val="none"/>
          <w:lang w:val="en-US" w:eastAsia="zh-CN"/>
          <w14:textFill>
            <w14:solidFill>
              <w14:schemeClr w14:val="tx1"/>
            </w14:solidFill>
          </w14:textFill>
        </w:rPr>
        <w:t>销售文件</w:t>
      </w:r>
      <w:r>
        <w:rPr>
          <w:rFonts w:hint="eastAsia" w:ascii="宋体" w:hAnsi="宋体" w:cs="宋体"/>
          <w:bCs/>
          <w:color w:val="000000" w:themeColor="text1"/>
          <w:sz w:val="24"/>
          <w:highlight w:val="none"/>
          <w14:textFill>
            <w14:solidFill>
              <w14:schemeClr w14:val="tx1"/>
            </w14:solidFill>
          </w14:textFill>
        </w:rPr>
        <w:t>。</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在本理财计划存续期内，如因监管政策或法律法规发生变化，在不损害投资者利益的前提下，管理人有权对</w:t>
      </w:r>
      <w:r>
        <w:rPr>
          <w:rFonts w:hint="eastAsia" w:ascii="宋体" w:hAnsi="宋体" w:cs="宋体"/>
          <w:bCs/>
          <w:color w:val="000000" w:themeColor="text1"/>
          <w:sz w:val="24"/>
          <w:highlight w:val="none"/>
          <w:lang w:val="en-US" w:eastAsia="zh-CN"/>
          <w14:textFill>
            <w14:solidFill>
              <w14:schemeClr w14:val="tx1"/>
            </w14:solidFill>
          </w14:textFill>
        </w:rPr>
        <w:t>因上述变化导致的</w:t>
      </w:r>
      <w:r>
        <w:rPr>
          <w:rFonts w:hint="eastAsia" w:ascii="宋体" w:hAnsi="宋体" w:cs="宋体"/>
          <w:bCs/>
          <w:color w:val="000000" w:themeColor="text1"/>
          <w:sz w:val="24"/>
          <w:highlight w:val="none"/>
          <w14:textFill>
            <w14:solidFill>
              <w14:schemeClr w14:val="tx1"/>
            </w14:solidFill>
          </w14:textFill>
        </w:rPr>
        <w:t>本理财计划说明书条款</w:t>
      </w:r>
      <w:r>
        <w:rPr>
          <w:rFonts w:hint="eastAsia" w:ascii="宋体" w:hAnsi="宋体" w:cs="宋体"/>
          <w:bCs/>
          <w:color w:val="000000" w:themeColor="text1"/>
          <w:sz w:val="24"/>
          <w:highlight w:val="none"/>
          <w:lang w:val="en-US" w:eastAsia="zh-CN"/>
          <w14:textFill>
            <w14:solidFill>
              <w14:schemeClr w14:val="tx1"/>
            </w14:solidFill>
          </w14:textFill>
        </w:rPr>
        <w:t>变化</w:t>
      </w:r>
      <w:r>
        <w:rPr>
          <w:rFonts w:hint="eastAsia" w:ascii="宋体" w:hAnsi="宋体" w:cs="宋体"/>
          <w:bCs/>
          <w:color w:val="000000" w:themeColor="text1"/>
          <w:sz w:val="24"/>
          <w:highlight w:val="none"/>
          <w14:textFill>
            <w14:solidFill>
              <w14:schemeClr w14:val="tx1"/>
            </w14:solidFill>
          </w14:textFill>
        </w:rPr>
        <w:t>进行修订。</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管理人有权依法对本理财计划产品说明书进行解释。</w:t>
      </w:r>
    </w:p>
    <w:p>
      <w:pPr>
        <w:numPr>
          <w:ilvl w:val="0"/>
          <w:numId w:val="0"/>
        </w:numPr>
        <w:spacing w:line="360" w:lineRule="auto"/>
        <w:jc w:val="left"/>
        <w:rPr>
          <w:rFonts w:hint="eastAsia" w:ascii="宋体" w:hAnsi="宋体" w:cs="宋体"/>
          <w:bCs/>
          <w:color w:val="000000" w:themeColor="text1"/>
          <w:sz w:val="24"/>
          <w:highlight w:val="none"/>
          <w14:textFill>
            <w14:solidFill>
              <w14:schemeClr w14:val="tx1"/>
            </w14:solidFill>
          </w14:textFill>
        </w:rPr>
      </w:pPr>
    </w:p>
    <w:p>
      <w:pPr>
        <w:numPr>
          <w:ilvl w:val="0"/>
          <w:numId w:val="11"/>
        </w:numPr>
        <w:spacing w:line="360" w:lineRule="auto"/>
        <w:ind w:firstLine="482" w:firstLineChars="20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释义</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本说明书中，除非另有明确说明，否则下列词语或简称具有如下含义：</w:t>
      </w:r>
    </w:p>
    <w:p>
      <w:pPr>
        <w:pStyle w:val="17"/>
        <w:numPr>
          <w:ilvl w:val="0"/>
          <w:numId w:val="12"/>
        </w:numPr>
        <w:adjustRightInd/>
        <w:spacing w:line="360" w:lineRule="auto"/>
        <w:ind w:firstLine="482" w:firstLineChars="200"/>
        <w:outlineLvl w:val="2"/>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参与主体用语</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理财计划管理人/产品管理人/管理人/本公司：</w:t>
      </w:r>
      <w:r>
        <w:rPr>
          <w:rFonts w:hint="eastAsia" w:ascii="宋体" w:hAnsi="宋体" w:cs="宋体"/>
          <w:bCs/>
          <w:color w:val="000000" w:themeColor="text1"/>
          <w:kern w:val="2"/>
          <w:highlight w:val="none"/>
          <w14:textFill>
            <w14:solidFill>
              <w14:schemeClr w14:val="tx1"/>
            </w14:solidFill>
          </w14:textFill>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themeColor="text1"/>
          <w:kern w:val="2"/>
          <w:highlight w:val="none"/>
          <w:lang w:eastAsia="zh-CN"/>
          <w14:textFill>
            <w14:solidFill>
              <w14:schemeClr w14:val="tx1"/>
            </w14:solidFill>
          </w14:textFill>
        </w:rPr>
        <w:t>杭银理财有限责任公司简称杭银理财，官网网站为</w:t>
      </w:r>
      <w:r>
        <w:rPr>
          <w:rFonts w:hint="eastAsia" w:ascii="宋体" w:hAnsi="宋体" w:cs="宋体"/>
          <w:bCs/>
          <w:color w:val="000000" w:themeColor="text1"/>
          <w:kern w:val="2"/>
          <w:highlight w:val="none"/>
          <w:u w:val="none"/>
          <w:lang w:val="en-US" w:eastAsia="zh-CN"/>
          <w14:textFill>
            <w14:solidFill>
              <w14:schemeClr w14:val="tx1"/>
            </w14:solidFill>
          </w14:textFill>
        </w:rPr>
        <w:t>https://</w:t>
      </w:r>
      <w:r>
        <w:rPr>
          <w:rFonts w:hint="eastAsia" w:ascii="宋体" w:hAnsi="宋体" w:cs="宋体"/>
          <w:bCs/>
          <w:color w:val="000000" w:themeColor="text1"/>
          <w:kern w:val="2"/>
          <w:highlight w:val="none"/>
          <w:u w:val="none"/>
          <w14:textFill>
            <w14:solidFill>
              <w14:schemeClr w14:val="tx1"/>
            </w14:solidFill>
          </w14:textFill>
        </w:rPr>
        <w:fldChar w:fldCharType="begin"/>
      </w:r>
      <w:r>
        <w:rPr>
          <w:rFonts w:hint="eastAsia" w:ascii="宋体" w:hAnsi="宋体" w:cs="宋体"/>
          <w:bCs/>
          <w:color w:val="000000" w:themeColor="text1"/>
          <w:kern w:val="2"/>
          <w:highlight w:val="none"/>
          <w:u w:val="none"/>
          <w14:textFill>
            <w14:solidFill>
              <w14:schemeClr w14:val="tx1"/>
            </w14:solidFill>
          </w14:textFill>
        </w:rPr>
        <w:instrText xml:space="preserve"> HYPERLINK "http://www.hzbank.com.cn" </w:instrText>
      </w:r>
      <w:r>
        <w:rPr>
          <w:rFonts w:hint="eastAsia" w:ascii="宋体" w:hAnsi="宋体" w:cs="宋体"/>
          <w:bCs/>
          <w:color w:val="000000" w:themeColor="text1"/>
          <w:kern w:val="2"/>
          <w:highlight w:val="none"/>
          <w:u w:val="none"/>
          <w14:textFill>
            <w14:solidFill>
              <w14:schemeClr w14:val="tx1"/>
            </w14:solidFill>
          </w14:textFill>
        </w:rPr>
        <w:fldChar w:fldCharType="separate"/>
      </w:r>
      <w:r>
        <w:rPr>
          <w:rFonts w:hint="eastAsia" w:ascii="宋体" w:hAnsi="宋体" w:cs="宋体"/>
          <w:bCs/>
          <w:color w:val="000000" w:themeColor="text1"/>
          <w:kern w:val="2"/>
          <w:highlight w:val="none"/>
          <w:u w:val="none"/>
          <w14:textFill>
            <w14:solidFill>
              <w14:schemeClr w14:val="tx1"/>
            </w14:solidFill>
          </w14:textFill>
        </w:rPr>
        <w:t>www.hzbank</w:t>
      </w:r>
      <w:r>
        <w:rPr>
          <w:rFonts w:hint="eastAsia" w:ascii="宋体" w:hAnsi="宋体" w:cs="宋体"/>
          <w:bCs/>
          <w:color w:val="000000" w:themeColor="text1"/>
          <w:kern w:val="2"/>
          <w:highlight w:val="none"/>
          <w:u w:val="none"/>
          <w:lang w:val="en-US" w:eastAsia="zh-CN"/>
          <w14:textFill>
            <w14:solidFill>
              <w14:schemeClr w14:val="tx1"/>
            </w14:solidFill>
          </w14:textFill>
        </w:rPr>
        <w:t>wealth</w:t>
      </w:r>
      <w:r>
        <w:rPr>
          <w:rFonts w:hint="eastAsia" w:ascii="宋体" w:hAnsi="宋体" w:cs="宋体"/>
          <w:bCs/>
          <w:color w:val="000000" w:themeColor="text1"/>
          <w:kern w:val="2"/>
          <w:highlight w:val="none"/>
          <w:u w:val="none"/>
          <w14:textFill>
            <w14:solidFill>
              <w14:schemeClr w14:val="tx1"/>
            </w14:solidFill>
          </w14:textFill>
        </w:rPr>
        <w:t>.com.cn</w:t>
      </w:r>
      <w:r>
        <w:rPr>
          <w:rFonts w:hint="eastAsia" w:ascii="宋体" w:hAnsi="宋体" w:cs="宋体"/>
          <w:bCs/>
          <w:color w:val="000000" w:themeColor="text1"/>
          <w:kern w:val="2"/>
          <w:highlight w:val="none"/>
          <w:u w:val="none"/>
          <w14:textFill>
            <w14:solidFill>
              <w14:schemeClr w14:val="tx1"/>
            </w14:solidFill>
          </w14:textFill>
        </w:rPr>
        <w:fldChar w:fldCharType="end"/>
      </w:r>
      <w:r>
        <w:rPr>
          <w:rFonts w:hint="eastAsia" w:ascii="宋体" w:hAnsi="宋体" w:cs="宋体"/>
          <w:bCs/>
          <w:color w:val="000000" w:themeColor="text1"/>
          <w:kern w:val="2"/>
          <w:highlight w:val="none"/>
          <w:u w:val="none"/>
          <w:lang w:eastAsia="zh-CN"/>
          <w14:textFill>
            <w14:solidFill>
              <w14:schemeClr w14:val="tx1"/>
            </w14:solidFill>
          </w14:textFill>
        </w:rPr>
        <w:t>，</w:t>
      </w:r>
      <w:r>
        <w:rPr>
          <w:rFonts w:hint="eastAsia" w:ascii="宋体" w:hAnsi="宋体" w:cs="宋体"/>
          <w:bCs/>
          <w:color w:val="000000" w:themeColor="text1"/>
          <w:kern w:val="2"/>
          <w:highlight w:val="none"/>
          <w:u w:val="none"/>
          <w:lang w:val="en-US" w:eastAsia="zh-CN"/>
          <w14:textFill>
            <w14:solidFill>
              <w14:schemeClr w14:val="tx1"/>
            </w14:solidFill>
          </w14:textFill>
        </w:rPr>
        <w:t>客服电话400-8950-999</w:t>
      </w:r>
      <w:r>
        <w:rPr>
          <w:rFonts w:hint="eastAsia" w:ascii="宋体" w:hAnsi="宋体" w:cs="宋体"/>
          <w:bCs/>
          <w:color w:val="000000" w:themeColor="text1"/>
          <w:kern w:val="2"/>
          <w:highlight w:val="none"/>
          <w:u w:val="none"/>
          <w14:textFill>
            <w14:solidFill>
              <w14:schemeClr w14:val="tx1"/>
            </w14:solidFill>
          </w14:textFill>
        </w:rPr>
        <w:t>。</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销售机构：</w:t>
      </w:r>
      <w:r>
        <w:rPr>
          <w:rFonts w:hint="eastAsia" w:ascii="宋体" w:hAnsi="宋体" w:cs="宋体"/>
          <w:bCs/>
          <w:color w:val="000000" w:themeColor="text1"/>
          <w:kern w:val="2"/>
          <w:highlight w:val="none"/>
          <w14:textFill>
            <w14:solidFill>
              <w14:schemeClr w14:val="tx1"/>
            </w14:solidFill>
          </w14:textFill>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themeColor="text1"/>
          <w:kern w:val="2"/>
          <w:highlight w:val="none"/>
          <w:u w:val="none"/>
          <w14:textFill>
            <w14:solidFill>
              <w14:schemeClr w14:val="tx1"/>
            </w14:solidFill>
          </w14:textFill>
        </w:rPr>
        <w:fldChar w:fldCharType="begin"/>
      </w:r>
      <w:r>
        <w:rPr>
          <w:rFonts w:hint="eastAsia" w:ascii="宋体" w:hAnsi="宋体" w:cs="宋体"/>
          <w:bCs/>
          <w:color w:val="000000" w:themeColor="text1"/>
          <w:kern w:val="2"/>
          <w:highlight w:val="none"/>
          <w:u w:val="none"/>
          <w14:textFill>
            <w14:solidFill>
              <w14:schemeClr w14:val="tx1"/>
            </w14:solidFill>
          </w14:textFill>
        </w:rPr>
        <w:instrText xml:space="preserve"> HYPERLINK "http://www.hzbank.com.cn" </w:instrText>
      </w:r>
      <w:r>
        <w:rPr>
          <w:rFonts w:hint="eastAsia" w:ascii="宋体" w:hAnsi="宋体" w:cs="宋体"/>
          <w:bCs/>
          <w:color w:val="000000" w:themeColor="text1"/>
          <w:kern w:val="2"/>
          <w:highlight w:val="none"/>
          <w:u w:val="none"/>
          <w14:textFill>
            <w14:solidFill>
              <w14:schemeClr w14:val="tx1"/>
            </w14:solidFill>
          </w14:textFill>
        </w:rPr>
        <w:fldChar w:fldCharType="separate"/>
      </w:r>
      <w:r>
        <w:rPr>
          <w:rFonts w:hint="eastAsia" w:ascii="宋体" w:hAnsi="宋体" w:cs="宋体"/>
          <w:bCs/>
          <w:color w:val="000000" w:themeColor="text1"/>
          <w:kern w:val="2"/>
          <w:highlight w:val="none"/>
          <w:u w:val="none"/>
          <w14:textFill>
            <w14:solidFill>
              <w14:schemeClr w14:val="tx1"/>
            </w14:solidFill>
          </w14:textFill>
        </w:rPr>
        <w:t>www.hzbank.com.cn</w:t>
      </w:r>
      <w:r>
        <w:rPr>
          <w:rFonts w:hint="eastAsia" w:ascii="宋体" w:hAnsi="宋体" w:cs="宋体"/>
          <w:bCs/>
          <w:color w:val="000000" w:themeColor="text1"/>
          <w:kern w:val="2"/>
          <w:highlight w:val="none"/>
          <w:u w:val="none"/>
          <w14:textFill>
            <w14:solidFill>
              <w14:schemeClr w14:val="tx1"/>
            </w14:solidFill>
          </w14:textFill>
        </w:rPr>
        <w:fldChar w:fldCharType="end"/>
      </w:r>
      <w:r>
        <w:rPr>
          <w:rFonts w:hint="eastAsia" w:ascii="宋体" w:hAnsi="宋体" w:cs="宋体"/>
          <w:bCs/>
          <w:color w:val="000000" w:themeColor="text1"/>
          <w:kern w:val="2"/>
          <w:highlight w:val="none"/>
          <w14:textFill>
            <w14:solidFill>
              <w14:schemeClr w14:val="tx1"/>
            </w14:solidFill>
          </w14:textFill>
        </w:rPr>
        <w:t>，客服热线为95398。</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理财计划托管人/产品托管人/托管人：</w:t>
      </w:r>
      <w:r>
        <w:rPr>
          <w:rFonts w:hint="eastAsia" w:ascii="宋体" w:hAnsi="宋体" w:cs="宋体"/>
          <w:bCs/>
          <w:color w:val="000000" w:themeColor="text1"/>
          <w:kern w:val="2"/>
          <w:highlight w:val="none"/>
          <w14:textFill>
            <w14:solidFill>
              <w14:schemeClr w14:val="tx1"/>
            </w14:solidFill>
          </w14:textFill>
        </w:rPr>
        <w:t>指</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杭州银行股份有限公司</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认购人：</w:t>
      </w:r>
      <w:r>
        <w:rPr>
          <w:rFonts w:hint="eastAsia" w:ascii="宋体" w:hAnsi="宋体" w:cs="宋体"/>
          <w:bCs/>
          <w:color w:val="000000" w:themeColor="text1"/>
          <w:kern w:val="2"/>
          <w:highlight w:val="none"/>
          <w14:textFill>
            <w14:solidFill>
              <w14:schemeClr w14:val="tx1"/>
            </w14:solidFill>
          </w14:textFill>
        </w:rPr>
        <w:t>指在理财计划认购期间签署理财计划合同并向理财计划管理人交付认购资金的个人、机构投资者。</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理财计划份额持有人/持有人：</w:t>
      </w:r>
      <w:r>
        <w:rPr>
          <w:rFonts w:hint="eastAsia" w:ascii="宋体" w:hAnsi="宋体" w:cs="宋体"/>
          <w:bCs/>
          <w:color w:val="000000" w:themeColor="text1"/>
          <w:kern w:val="2"/>
          <w:highlight w:val="none"/>
          <w14:textFill>
            <w14:solidFill>
              <w14:schemeClr w14:val="tx1"/>
            </w14:solidFill>
          </w14:textFill>
        </w:rPr>
        <w:t>指认购/申购申请后，经过管理人确认成功后，从而持有理财计划份额的投资者。</w:t>
      </w:r>
    </w:p>
    <w:p>
      <w:pPr>
        <w:pStyle w:val="17"/>
        <w:numPr>
          <w:ilvl w:val="0"/>
          <w:numId w:val="13"/>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监管机构：</w:t>
      </w:r>
      <w:r>
        <w:rPr>
          <w:rFonts w:hint="eastAsia" w:ascii="宋体" w:hAnsi="宋体" w:cs="宋体"/>
          <w:bCs/>
          <w:color w:val="000000" w:themeColor="text1"/>
          <w:kern w:val="2"/>
          <w:highlight w:val="none"/>
          <w14:textFill>
            <w14:solidFill>
              <w14:schemeClr w14:val="tx1"/>
            </w14:solidFill>
          </w14:textFill>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themeColor="text1"/>
          <w:kern w:val="2"/>
          <w:highlight w:val="none"/>
          <w:lang w:eastAsia="zh-CN"/>
          <w14:textFill>
            <w14:solidFill>
              <w14:schemeClr w14:val="tx1"/>
            </w14:solidFill>
          </w14:textFill>
        </w:rPr>
        <w:t>国家金融监督管理总局</w:t>
      </w:r>
      <w:r>
        <w:rPr>
          <w:rFonts w:hint="eastAsia" w:ascii="宋体" w:hAnsi="宋体" w:cs="宋体"/>
          <w:bCs/>
          <w:color w:val="000000" w:themeColor="text1"/>
          <w:kern w:val="2"/>
          <w:highlight w:val="none"/>
          <w14:textFill>
            <w14:solidFill>
              <w14:schemeClr w14:val="tx1"/>
            </w14:solidFill>
          </w14:textFill>
        </w:rPr>
        <w:t>、中国证券监督管理委员会、外汇管理局、银行业理财登记托管中心等。</w:t>
      </w:r>
    </w:p>
    <w:p>
      <w:pPr>
        <w:pStyle w:val="17"/>
        <w:numPr>
          <w:ilvl w:val="0"/>
          <w:numId w:val="12"/>
        </w:numPr>
        <w:adjustRightInd/>
        <w:spacing w:line="360" w:lineRule="auto"/>
        <w:ind w:firstLine="482" w:firstLineChars="200"/>
        <w:outlineLvl w:val="2"/>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法律文件用语</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理财计划说明书/产品说明书：</w:t>
      </w:r>
      <w:r>
        <w:rPr>
          <w:rFonts w:hint="eastAsia" w:ascii="宋体" w:hAnsi="宋体" w:cs="宋体"/>
          <w:bCs/>
          <w:color w:val="000000" w:themeColor="text1"/>
          <w:kern w:val="2"/>
          <w:highlight w:val="none"/>
          <w14:textFill>
            <w14:solidFill>
              <w14:schemeClr w14:val="tx1"/>
            </w14:solidFill>
          </w14:textFill>
        </w:rPr>
        <w:t>指《</w:t>
      </w:r>
      <w:r>
        <w:rPr>
          <w:rFonts w:hint="eastAsia" w:ascii="宋体" w:hAnsi="宋体" w:cs="宋体"/>
          <w:bCs/>
          <w:color w:val="000000" w:themeColor="text1"/>
          <w:kern w:val="2"/>
          <w:highlight w:val="none"/>
          <w:lang w:eastAsia="zh-CN"/>
          <w14:textFill>
            <w14:solidFill>
              <w14:schemeClr w14:val="tx1"/>
            </w14:solidFill>
          </w14:textFill>
        </w:rPr>
        <w:t>幸福99添益(安享优选)7天持有期8期理财</w:t>
      </w:r>
      <w:r>
        <w:rPr>
          <w:rFonts w:hint="eastAsia" w:ascii="宋体" w:hAnsi="宋体" w:cs="宋体"/>
          <w:bCs/>
          <w:color w:val="000000" w:themeColor="text1"/>
          <w:highlight w:val="none"/>
          <w14:textFill>
            <w14:solidFill>
              <w14:schemeClr w14:val="tx1"/>
            </w14:solidFill>
          </w14:textFill>
        </w:rPr>
        <w:t>产品说明书</w:t>
      </w:r>
      <w:r>
        <w:rPr>
          <w:rFonts w:hint="eastAsia" w:ascii="宋体" w:hAnsi="宋体" w:cs="宋体"/>
          <w:bCs/>
          <w:color w:val="000000" w:themeColor="text1"/>
          <w:kern w:val="2"/>
          <w:highlight w:val="none"/>
          <w14:textFill>
            <w14:solidFill>
              <w14:schemeClr w14:val="tx1"/>
            </w14:solidFill>
          </w14:textFill>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风险揭示书：</w:t>
      </w:r>
      <w:r>
        <w:rPr>
          <w:rFonts w:hint="eastAsia" w:ascii="宋体" w:hAnsi="宋体" w:cs="宋体"/>
          <w:bCs/>
          <w:color w:val="000000" w:themeColor="text1"/>
          <w:kern w:val="2"/>
          <w:highlight w:val="none"/>
          <w14:textFill>
            <w14:solidFill>
              <w14:schemeClr w14:val="tx1"/>
            </w14:solidFill>
          </w14:textFill>
        </w:rPr>
        <w:t>指作为</w:t>
      </w:r>
      <w:r>
        <w:rPr>
          <w:rFonts w:hint="eastAsia" w:ascii="宋体" w:hAnsi="宋体" w:cs="宋体"/>
          <w:bCs/>
          <w:color w:val="000000" w:themeColor="text1"/>
          <w:kern w:val="2"/>
          <w:highlight w:val="none"/>
          <w:lang w:eastAsia="zh-CN"/>
          <w14:textFill>
            <w14:solidFill>
              <w14:schemeClr w14:val="tx1"/>
            </w14:solidFill>
          </w14:textFill>
        </w:rPr>
        <w:t>幸福99添益(安享优选)7天持有期8期理财</w:t>
      </w:r>
      <w:r>
        <w:rPr>
          <w:rFonts w:hint="eastAsia" w:ascii="宋体" w:hAnsi="宋体" w:cs="宋体"/>
          <w:bCs/>
          <w:color w:val="000000" w:themeColor="text1"/>
          <w:highlight w:val="none"/>
          <w14:textFill>
            <w14:solidFill>
              <w14:schemeClr w14:val="tx1"/>
            </w14:solidFill>
          </w14:textFill>
        </w:rPr>
        <w:t>合同不可分割组成部分的风险揭示书，</w:t>
      </w:r>
      <w:r>
        <w:rPr>
          <w:rFonts w:hint="eastAsia" w:ascii="宋体" w:hAnsi="宋体" w:cs="宋体"/>
          <w:bCs/>
          <w:color w:val="000000" w:themeColor="text1"/>
          <w:kern w:val="2"/>
          <w:highlight w:val="none"/>
          <w14:textFill>
            <w14:solidFill>
              <w14:schemeClr w14:val="tx1"/>
            </w14:solidFill>
          </w14:textFill>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投资者权益须知：</w:t>
      </w:r>
      <w:r>
        <w:rPr>
          <w:rFonts w:hint="eastAsia" w:ascii="宋体" w:hAnsi="宋体" w:cs="宋体"/>
          <w:bCs/>
          <w:color w:val="000000" w:themeColor="text1"/>
          <w:kern w:val="2"/>
          <w:highlight w:val="none"/>
          <w14:textFill>
            <w14:solidFill>
              <w14:schemeClr w14:val="tx1"/>
            </w14:solidFill>
          </w14:textFill>
        </w:rPr>
        <w:t>指作为</w:t>
      </w:r>
      <w:r>
        <w:rPr>
          <w:rFonts w:hint="eastAsia" w:ascii="宋体" w:hAnsi="宋体" w:cs="宋体"/>
          <w:bCs/>
          <w:color w:val="000000" w:themeColor="text1"/>
          <w:kern w:val="2"/>
          <w:highlight w:val="none"/>
          <w:lang w:eastAsia="zh-CN"/>
          <w14:textFill>
            <w14:solidFill>
              <w14:schemeClr w14:val="tx1"/>
            </w14:solidFill>
          </w14:textFill>
        </w:rPr>
        <w:t>幸福99添益(安享优选)7天持有期8期理财</w:t>
      </w:r>
      <w:r>
        <w:rPr>
          <w:rFonts w:hint="eastAsia" w:ascii="宋体" w:hAnsi="宋体" w:cs="宋体"/>
          <w:bCs/>
          <w:color w:val="000000" w:themeColor="text1"/>
          <w:highlight w:val="none"/>
          <w14:textFill>
            <w14:solidFill>
              <w14:schemeClr w14:val="tx1"/>
            </w14:solidFill>
          </w14:textFill>
        </w:rPr>
        <w:t>合同不可分割组成部分的投资者权益须知，</w:t>
      </w:r>
      <w:r>
        <w:rPr>
          <w:rFonts w:hint="eastAsia" w:ascii="宋体" w:hAnsi="宋体" w:cs="宋体"/>
          <w:bCs/>
          <w:color w:val="000000" w:themeColor="text1"/>
          <w:kern w:val="2"/>
          <w:highlight w:val="none"/>
          <w14:textFill>
            <w14:solidFill>
              <w14:schemeClr w14:val="tx1"/>
            </w14:solidFill>
          </w14:textFill>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w:t>
      </w:r>
      <w:r>
        <w:rPr>
          <w:rFonts w:hint="eastAsia" w:ascii="宋体" w:hAnsi="宋体" w:cs="宋体"/>
          <w:b/>
          <w:color w:val="000000" w:themeColor="text1"/>
          <w:kern w:val="2"/>
          <w:highlight w:val="none"/>
          <w:lang w:val="en-US" w:eastAsia="zh-CN"/>
          <w14:textFill>
            <w14:solidFill>
              <w14:schemeClr w14:val="tx1"/>
            </w14:solidFill>
          </w14:textFill>
        </w:rPr>
        <w:t>计划</w:t>
      </w:r>
      <w:r>
        <w:rPr>
          <w:rFonts w:hint="eastAsia" w:ascii="宋体" w:hAnsi="宋体" w:cs="宋体"/>
          <w:b/>
          <w:color w:val="000000" w:themeColor="text1"/>
          <w:kern w:val="2"/>
          <w:highlight w:val="none"/>
          <w14:textFill>
            <w14:solidFill>
              <w14:schemeClr w14:val="tx1"/>
            </w14:solidFill>
          </w14:textFill>
        </w:rPr>
        <w:t>投资协议书：</w:t>
      </w:r>
      <w:r>
        <w:rPr>
          <w:rFonts w:hint="eastAsia" w:ascii="宋体" w:hAnsi="宋体" w:cs="宋体"/>
          <w:bCs/>
          <w:color w:val="000000" w:themeColor="text1"/>
          <w:kern w:val="2"/>
          <w:highlight w:val="none"/>
          <w14:textFill>
            <w14:solidFill>
              <w14:schemeClr w14:val="tx1"/>
            </w14:solidFill>
          </w14:textFill>
        </w:rPr>
        <w:t>指作为</w:t>
      </w:r>
      <w:r>
        <w:rPr>
          <w:rFonts w:hint="eastAsia" w:ascii="宋体" w:hAnsi="宋体" w:cs="宋体"/>
          <w:bCs/>
          <w:color w:val="000000" w:themeColor="text1"/>
          <w:kern w:val="2"/>
          <w:highlight w:val="none"/>
          <w:lang w:eastAsia="zh-CN"/>
          <w14:textFill>
            <w14:solidFill>
              <w14:schemeClr w14:val="tx1"/>
            </w14:solidFill>
          </w14:textFill>
        </w:rPr>
        <w:t>幸福99添益(安享优选)7天持有期8期理财</w:t>
      </w:r>
      <w:r>
        <w:rPr>
          <w:rFonts w:hint="eastAsia" w:ascii="宋体" w:hAnsi="宋体" w:cs="宋体"/>
          <w:bCs/>
          <w:color w:val="000000" w:themeColor="text1"/>
          <w:highlight w:val="none"/>
          <w14:textFill>
            <w14:solidFill>
              <w14:schemeClr w14:val="tx1"/>
            </w14:solidFill>
          </w14:textFill>
        </w:rPr>
        <w:t>合同不可分割组成部分的理财计划投资协议书，</w:t>
      </w:r>
      <w:r>
        <w:rPr>
          <w:rFonts w:hint="eastAsia" w:ascii="宋体" w:hAnsi="宋体" w:cs="宋体"/>
          <w:bCs/>
          <w:color w:val="000000" w:themeColor="text1"/>
          <w:kern w:val="2"/>
          <w:highlight w:val="none"/>
          <w14:textFill>
            <w14:solidFill>
              <w14:schemeClr w14:val="tx1"/>
            </w14:solidFill>
          </w14:textFill>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lang w:eastAsia="zh-CN"/>
          <w14:textFill>
            <w14:solidFill>
              <w14:schemeClr w14:val="tx1"/>
            </w14:solidFill>
          </w14:textFill>
        </w:rPr>
        <w:t>理财</w:t>
      </w:r>
      <w:r>
        <w:rPr>
          <w:rFonts w:hint="eastAsia" w:ascii="宋体" w:hAnsi="宋体" w:cs="宋体"/>
          <w:b/>
          <w:bCs w:val="0"/>
          <w:color w:val="000000" w:themeColor="text1"/>
          <w:kern w:val="2"/>
          <w:highlight w:val="none"/>
          <w:lang w:val="en-US" w:eastAsia="zh-CN"/>
          <w14:textFill>
            <w14:solidFill>
              <w14:schemeClr w14:val="tx1"/>
            </w14:solidFill>
          </w14:textFill>
        </w:rPr>
        <w:t>计划</w:t>
      </w:r>
      <w:r>
        <w:rPr>
          <w:rFonts w:hint="eastAsia" w:ascii="宋体" w:hAnsi="宋体" w:cs="宋体"/>
          <w:b/>
          <w:bCs w:val="0"/>
          <w:color w:val="000000" w:themeColor="text1"/>
          <w:kern w:val="2"/>
          <w:highlight w:val="none"/>
          <w:lang w:eastAsia="zh-CN"/>
          <w14:textFill>
            <w14:solidFill>
              <w14:schemeClr w14:val="tx1"/>
            </w14:solidFill>
          </w14:textFill>
        </w:rPr>
        <w:t>销售协议书：</w:t>
      </w:r>
      <w:r>
        <w:rPr>
          <w:rFonts w:hint="eastAsia" w:ascii="宋体" w:hAnsi="宋体" w:cs="宋体"/>
          <w:bCs/>
          <w:color w:val="000000" w:themeColor="text1"/>
          <w:kern w:val="2"/>
          <w:highlight w:val="none"/>
          <w:lang w:eastAsia="zh-CN"/>
          <w14:textFill>
            <w14:solidFill>
              <w14:schemeClr w14:val="tx1"/>
            </w14:solidFill>
          </w14:textFill>
        </w:rPr>
        <w:t>指作为幸福99添益(安享优选)7天持有期8期理财</w:t>
      </w:r>
      <w:r>
        <w:rPr>
          <w:rFonts w:hint="eastAsia" w:ascii="宋体" w:hAnsi="宋体" w:cs="宋体"/>
          <w:bCs/>
          <w:color w:val="000000" w:themeColor="text1"/>
          <w:kern w:val="2"/>
          <w:highlight w:val="none"/>
          <w:lang w:val="en-US" w:eastAsia="zh-CN"/>
          <w14:textFill>
            <w14:solidFill>
              <w14:schemeClr w14:val="tx1"/>
            </w14:solidFill>
          </w14:textFill>
        </w:rPr>
        <w:t>合同不可分割组成部分的理财计划销售协议书，以及对该文件的有效修改与补充。</w:t>
      </w:r>
    </w:p>
    <w:p>
      <w:pPr>
        <w:pStyle w:val="17"/>
        <w:numPr>
          <w:ilvl w:val="0"/>
          <w:numId w:val="14"/>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w:t>
      </w:r>
      <w:r>
        <w:rPr>
          <w:rFonts w:hint="eastAsia" w:ascii="宋体" w:hAnsi="宋体" w:cs="宋体"/>
          <w:b/>
          <w:color w:val="000000" w:themeColor="text1"/>
          <w:kern w:val="2"/>
          <w:highlight w:val="none"/>
          <w:lang w:val="en-US" w:eastAsia="zh-CN"/>
          <w14:textFill>
            <w14:solidFill>
              <w14:schemeClr w14:val="tx1"/>
            </w14:solidFill>
          </w14:textFill>
        </w:rPr>
        <w:t>计划</w:t>
      </w:r>
      <w:r>
        <w:rPr>
          <w:rFonts w:hint="eastAsia" w:ascii="宋体" w:hAnsi="宋体" w:cs="宋体"/>
          <w:b/>
          <w:color w:val="000000" w:themeColor="text1"/>
          <w:kern w:val="2"/>
          <w:highlight w:val="none"/>
          <w14:textFill>
            <w14:solidFill>
              <w14:schemeClr w14:val="tx1"/>
            </w14:solidFill>
          </w14:textFill>
        </w:rPr>
        <w:t>合同/销售文件：</w:t>
      </w:r>
      <w:r>
        <w:rPr>
          <w:rFonts w:hint="eastAsia" w:ascii="宋体" w:hAnsi="宋体" w:cs="宋体"/>
          <w:bCs/>
          <w:color w:val="000000" w:themeColor="text1"/>
          <w:kern w:val="2"/>
          <w:highlight w:val="none"/>
          <w14:textFill>
            <w14:solidFill>
              <w14:schemeClr w14:val="tx1"/>
            </w14:solidFill>
          </w14:textFill>
        </w:rPr>
        <w:t>指《理财</w:t>
      </w:r>
      <w:r>
        <w:rPr>
          <w:rFonts w:hint="eastAsia" w:ascii="宋体" w:hAnsi="宋体" w:cs="宋体"/>
          <w:bCs/>
          <w:color w:val="000000" w:themeColor="text1"/>
          <w:kern w:val="2"/>
          <w:highlight w:val="none"/>
          <w:lang w:val="en-US" w:eastAsia="zh-CN"/>
          <w14:textFill>
            <w14:solidFill>
              <w14:schemeClr w14:val="tx1"/>
            </w14:solidFill>
          </w14:textFill>
        </w:rPr>
        <w:t>计划</w:t>
      </w:r>
      <w:r>
        <w:rPr>
          <w:rFonts w:hint="eastAsia" w:ascii="宋体" w:hAnsi="宋体" w:cs="宋体"/>
          <w:bCs/>
          <w:color w:val="000000" w:themeColor="text1"/>
          <w:kern w:val="2"/>
          <w:highlight w:val="none"/>
          <w:lang w:eastAsia="zh-CN"/>
          <w14:textFill>
            <w14:solidFill>
              <w14:schemeClr w14:val="tx1"/>
            </w14:solidFill>
          </w14:textFill>
        </w:rPr>
        <w:t>风险揭示书</w:t>
      </w:r>
      <w:r>
        <w:rPr>
          <w:rFonts w:hint="eastAsia" w:ascii="宋体" w:hAnsi="宋体" w:cs="宋体"/>
          <w:bCs/>
          <w:color w:val="000000" w:themeColor="text1"/>
          <w:kern w:val="2"/>
          <w:highlight w:val="none"/>
          <w14:textFill>
            <w14:solidFill>
              <w14:schemeClr w14:val="tx1"/>
            </w14:solidFill>
          </w14:textFill>
        </w:rPr>
        <w:t>》《</w:t>
      </w:r>
      <w:r>
        <w:rPr>
          <w:rFonts w:hint="eastAsia" w:ascii="宋体" w:hAnsi="宋体" w:cs="宋体"/>
          <w:bCs/>
          <w:color w:val="000000" w:themeColor="text1"/>
          <w:kern w:val="2"/>
          <w:highlight w:val="none"/>
          <w:lang w:eastAsia="zh-CN"/>
          <w14:textFill>
            <w14:solidFill>
              <w14:schemeClr w14:val="tx1"/>
            </w14:solidFill>
          </w14:textFill>
        </w:rPr>
        <w:t>理财</w:t>
      </w:r>
      <w:r>
        <w:rPr>
          <w:rFonts w:hint="eastAsia" w:ascii="宋体" w:hAnsi="宋体" w:cs="宋体"/>
          <w:bCs/>
          <w:color w:val="000000" w:themeColor="text1"/>
          <w:kern w:val="2"/>
          <w:highlight w:val="none"/>
          <w:lang w:val="en-US" w:eastAsia="zh-CN"/>
          <w14:textFill>
            <w14:solidFill>
              <w14:schemeClr w14:val="tx1"/>
            </w14:solidFill>
          </w14:textFill>
        </w:rPr>
        <w:t>计划</w:t>
      </w:r>
      <w:r>
        <w:rPr>
          <w:rFonts w:hint="eastAsia" w:ascii="宋体" w:hAnsi="宋体" w:cs="宋体"/>
          <w:bCs/>
          <w:color w:val="000000" w:themeColor="text1"/>
          <w:kern w:val="2"/>
          <w:highlight w:val="none"/>
          <w:lang w:eastAsia="zh-CN"/>
          <w14:textFill>
            <w14:solidFill>
              <w14:schemeClr w14:val="tx1"/>
            </w14:solidFill>
          </w14:textFill>
        </w:rPr>
        <w:t>产品说明书</w:t>
      </w:r>
      <w:r>
        <w:rPr>
          <w:rFonts w:hint="eastAsia" w:ascii="宋体" w:hAnsi="宋体" w:cs="宋体"/>
          <w:bCs/>
          <w:color w:val="000000" w:themeColor="text1"/>
          <w:kern w:val="2"/>
          <w:highlight w:val="none"/>
          <w14:textFill>
            <w14:solidFill>
              <w14:schemeClr w14:val="tx1"/>
            </w14:solidFill>
          </w14:textFill>
        </w:rPr>
        <w:t>》《投资者权益须知》《理财</w:t>
      </w:r>
      <w:r>
        <w:rPr>
          <w:rFonts w:hint="eastAsia" w:ascii="宋体" w:hAnsi="宋体" w:cs="宋体"/>
          <w:bCs/>
          <w:color w:val="000000" w:themeColor="text1"/>
          <w:kern w:val="2"/>
          <w:highlight w:val="none"/>
          <w:lang w:val="en-US" w:eastAsia="zh-CN"/>
          <w14:textFill>
            <w14:solidFill>
              <w14:schemeClr w14:val="tx1"/>
            </w14:solidFill>
          </w14:textFill>
        </w:rPr>
        <w:t>计划</w:t>
      </w:r>
      <w:r>
        <w:rPr>
          <w:rFonts w:hint="eastAsia" w:ascii="宋体" w:hAnsi="宋体" w:cs="宋体"/>
          <w:bCs/>
          <w:color w:val="000000" w:themeColor="text1"/>
          <w:kern w:val="2"/>
          <w:highlight w:val="none"/>
          <w14:textFill>
            <w14:solidFill>
              <w14:schemeClr w14:val="tx1"/>
            </w14:solidFill>
          </w14:textFill>
        </w:rPr>
        <w:t>投资协议书》</w:t>
      </w:r>
      <w:r>
        <w:rPr>
          <w:rFonts w:hint="eastAsia" w:ascii="宋体" w:hAnsi="宋体" w:cs="宋体"/>
          <w:bCs/>
          <w:color w:val="000000" w:themeColor="text1"/>
          <w:kern w:val="2"/>
          <w:highlight w:val="none"/>
          <w:lang w:eastAsia="zh-CN"/>
          <w14:textFill>
            <w14:solidFill>
              <w14:schemeClr w14:val="tx1"/>
            </w14:solidFill>
          </w14:textFill>
        </w:rPr>
        <w:t>《理财</w:t>
      </w:r>
      <w:r>
        <w:rPr>
          <w:rFonts w:hint="eastAsia" w:ascii="宋体" w:hAnsi="宋体" w:cs="宋体"/>
          <w:bCs/>
          <w:color w:val="000000" w:themeColor="text1"/>
          <w:kern w:val="2"/>
          <w:highlight w:val="none"/>
          <w:lang w:val="en-US" w:eastAsia="zh-CN"/>
          <w14:textFill>
            <w14:solidFill>
              <w14:schemeClr w14:val="tx1"/>
            </w14:solidFill>
          </w14:textFill>
        </w:rPr>
        <w:t>计划</w:t>
      </w:r>
      <w:r>
        <w:rPr>
          <w:rFonts w:hint="eastAsia" w:ascii="宋体" w:hAnsi="宋体" w:cs="宋体"/>
          <w:bCs/>
          <w:color w:val="000000" w:themeColor="text1"/>
          <w:kern w:val="2"/>
          <w:highlight w:val="none"/>
          <w:lang w:eastAsia="zh-CN"/>
          <w14:textFill>
            <w14:solidFill>
              <w14:schemeClr w14:val="tx1"/>
            </w14:solidFill>
          </w14:textFill>
        </w:rPr>
        <w:t>销售协议书》五</w:t>
      </w:r>
      <w:r>
        <w:rPr>
          <w:rFonts w:hint="eastAsia" w:ascii="宋体" w:hAnsi="宋体" w:cs="宋体"/>
          <w:bCs/>
          <w:color w:val="000000" w:themeColor="text1"/>
          <w:kern w:val="2"/>
          <w:highlight w:val="none"/>
          <w14:textFill>
            <w14:solidFill>
              <w14:schemeClr w14:val="tx1"/>
            </w14:solidFill>
          </w14:textFill>
        </w:rPr>
        <w:t>个部分。</w:t>
      </w:r>
    </w:p>
    <w:p>
      <w:pPr>
        <w:pStyle w:val="17"/>
        <w:numPr>
          <w:ilvl w:val="0"/>
          <w:numId w:val="12"/>
        </w:numPr>
        <w:adjustRightInd/>
        <w:spacing w:line="360" w:lineRule="auto"/>
        <w:ind w:firstLine="482" w:firstLineChars="200"/>
        <w:outlineLvl w:val="2"/>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理财产品用语</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理财计划/理财产品/产品：</w:t>
      </w:r>
      <w:r>
        <w:rPr>
          <w:rFonts w:hint="eastAsia" w:ascii="宋体" w:hAnsi="宋体" w:cs="宋体"/>
          <w:bCs/>
          <w:color w:val="000000" w:themeColor="text1"/>
          <w:kern w:val="2"/>
          <w:highlight w:val="none"/>
          <w14:textFill>
            <w14:solidFill>
              <w14:schemeClr w14:val="tx1"/>
            </w14:solidFill>
          </w14:textFill>
        </w:rPr>
        <w:t>指</w:t>
      </w:r>
      <w:r>
        <w:rPr>
          <w:rFonts w:hint="eastAsia" w:ascii="宋体" w:hAnsi="宋体" w:cs="宋体"/>
          <w:bCs/>
          <w:color w:val="000000" w:themeColor="text1"/>
          <w:kern w:val="2"/>
          <w:highlight w:val="none"/>
          <w:lang w:eastAsia="zh-CN"/>
          <w14:textFill>
            <w14:solidFill>
              <w14:schemeClr w14:val="tx1"/>
            </w14:solidFill>
          </w14:textFill>
        </w:rPr>
        <w:t>幸福99添益(安享优选)7天持有期8期理财</w:t>
      </w:r>
      <w:r>
        <w:rPr>
          <w:rFonts w:hint="eastAsia" w:ascii="宋体" w:hAnsi="宋体" w:cs="宋体"/>
          <w:bCs/>
          <w:color w:val="000000" w:themeColor="text1"/>
          <w:highlight w:val="none"/>
          <w14:textFill>
            <w14:solidFill>
              <w14:schemeClr w14:val="tx1"/>
            </w14:solidFill>
          </w14:textFill>
        </w:rPr>
        <w:t>。</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理财计划份额/产品份额：</w:t>
      </w:r>
      <w:r>
        <w:rPr>
          <w:rFonts w:hint="eastAsia" w:ascii="宋体" w:hAnsi="宋体" w:cs="宋体"/>
          <w:bCs/>
          <w:color w:val="000000" w:themeColor="text1"/>
          <w:highlight w:val="none"/>
          <w14:textFill>
            <w14:solidFill>
              <w14:schemeClr w14:val="tx1"/>
            </w14:solidFill>
          </w14:textFill>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理财计划份额净值/产品份额净值：</w:t>
      </w:r>
      <w:r>
        <w:rPr>
          <w:rFonts w:hint="eastAsia" w:ascii="宋体" w:hAnsi="宋体" w:cs="宋体"/>
          <w:bCs/>
          <w:color w:val="000000" w:themeColor="text1"/>
          <w:highlight w:val="none"/>
          <w14:textFill>
            <w14:solidFill>
              <w14:schemeClr w14:val="tx1"/>
            </w14:solidFill>
          </w14:textFill>
        </w:rPr>
        <w:t>指理财计划份额的单位净值，即每1份理财计划份额以人民币或外币（以产品说明书交易币种为准）计价的价格。</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理财计划份额累计净值/产品份额累计净值：</w:t>
      </w:r>
      <w:r>
        <w:rPr>
          <w:rFonts w:hint="eastAsia" w:ascii="宋体" w:hAnsi="宋体" w:cs="宋体"/>
          <w:bCs/>
          <w:color w:val="000000" w:themeColor="text1"/>
          <w:highlight w:val="none"/>
          <w14:textFill>
            <w14:solidFill>
              <w14:schemeClr w14:val="tx1"/>
            </w14:solidFill>
          </w14:textFill>
        </w:rPr>
        <w:t>指理财计划份额的单位净值与理财计划成立后历次累计单位收益分配的总和。</w:t>
      </w:r>
    </w:p>
    <w:p>
      <w:pPr>
        <w:pStyle w:val="17"/>
        <w:numPr>
          <w:ilvl w:val="0"/>
          <w:numId w:val="15"/>
        </w:numPr>
        <w:adjustRightInd/>
        <w:spacing w:line="360" w:lineRule="auto"/>
        <w:ind w:firstLine="48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工作日：</w:t>
      </w:r>
      <w:r>
        <w:rPr>
          <w:rFonts w:hint="eastAsia" w:ascii="宋体" w:hAnsi="宋体" w:cs="宋体"/>
          <w:bCs/>
          <w:color w:val="000000" w:themeColor="text1"/>
          <w:highlight w:val="none"/>
          <w14:textFill>
            <w14:solidFill>
              <w14:schemeClr w14:val="tx1"/>
            </w14:solidFill>
          </w14:textFill>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交易日：</w:t>
      </w:r>
      <w:r>
        <w:rPr>
          <w:rFonts w:hint="eastAsia" w:ascii="宋体" w:hAnsi="宋体" w:cs="宋体"/>
          <w:bCs/>
          <w:color w:val="000000" w:themeColor="text1"/>
          <w:highlight w:val="none"/>
          <w14:textFill>
            <w14:solidFill>
              <w14:schemeClr w14:val="tx1"/>
            </w14:solidFill>
          </w14:textFill>
        </w:rPr>
        <w:t>指上海证券交易所、深圳证券交易所的正常交易日</w:t>
      </w:r>
      <w:r>
        <w:rPr>
          <w:rFonts w:hint="eastAsia" w:ascii="宋体" w:hAnsi="宋体" w:cs="宋体"/>
          <w:bCs/>
          <w:color w:val="000000" w:themeColor="text1"/>
          <w:highlight w:val="none"/>
          <w:lang w:val="en-US" w:eastAsia="zh-CN"/>
          <w14:textFill>
            <w14:solidFill>
              <w14:schemeClr w14:val="tx1"/>
            </w14:solidFill>
          </w14:textFill>
        </w:rPr>
        <w:t>。如涉及到监管条例部分，统一以监管条例表述替代。</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成立日：</w:t>
      </w:r>
      <w:r>
        <w:rPr>
          <w:rFonts w:hint="eastAsia" w:ascii="宋体" w:hAnsi="宋体" w:cs="宋体"/>
          <w:bCs/>
          <w:color w:val="000000" w:themeColor="text1"/>
          <w:highlight w:val="none"/>
          <w14:textFill>
            <w14:solidFill>
              <w14:schemeClr w14:val="tx1"/>
            </w14:solidFill>
          </w14:textFill>
        </w:rPr>
        <w:t>指理财计划完成首次募集发行后正式成立运作日。</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认购期：</w:t>
      </w:r>
      <w:r>
        <w:rPr>
          <w:rFonts w:hint="eastAsia" w:ascii="宋体" w:hAnsi="宋体" w:cs="宋体"/>
          <w:bCs/>
          <w:color w:val="000000" w:themeColor="text1"/>
          <w:kern w:val="2"/>
          <w:highlight w:val="none"/>
          <w14:textFill>
            <w14:solidFill>
              <w14:schemeClr w14:val="tx1"/>
            </w14:solidFill>
          </w14:textFill>
        </w:rPr>
        <w:t>指理财计划成立前，理财计划管理人接受理财计划认购的时间。</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封闭期：</w:t>
      </w:r>
      <w:r>
        <w:rPr>
          <w:rFonts w:hint="eastAsia" w:ascii="宋体" w:hAnsi="宋体" w:cs="宋体"/>
          <w:bCs/>
          <w:color w:val="000000" w:themeColor="text1"/>
          <w:kern w:val="2"/>
          <w:highlight w:val="none"/>
          <w14:textFill>
            <w14:solidFill>
              <w14:schemeClr w14:val="tx1"/>
            </w14:solidFill>
          </w14:textFill>
        </w:rPr>
        <w:t>指理财</w:t>
      </w:r>
      <w:r>
        <w:rPr>
          <w:rFonts w:hint="eastAsia" w:ascii="宋体" w:hAnsi="宋体" w:cs="宋体"/>
          <w:bCs/>
          <w:color w:val="000000" w:themeColor="text1"/>
          <w:kern w:val="2"/>
          <w:highlight w:val="none"/>
          <w:lang w:eastAsia="zh-CN"/>
          <w14:textFill>
            <w14:solidFill>
              <w14:schemeClr w14:val="tx1"/>
            </w14:solidFill>
          </w14:textFill>
        </w:rPr>
        <w:t>计划</w:t>
      </w:r>
      <w:r>
        <w:rPr>
          <w:rFonts w:hint="eastAsia" w:ascii="宋体" w:hAnsi="宋体" w:cs="宋体"/>
          <w:bCs/>
          <w:color w:val="000000" w:themeColor="text1"/>
          <w:kern w:val="2"/>
          <w:highlight w:val="none"/>
          <w14:textFill>
            <w14:solidFill>
              <w14:schemeClr w14:val="tx1"/>
            </w14:solidFill>
          </w14:textFill>
        </w:rPr>
        <w:t>成立后，理财计划不接受投资者申购赎回的时间。</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建仓期：</w:t>
      </w:r>
      <w:r>
        <w:rPr>
          <w:rFonts w:hint="eastAsia" w:ascii="宋体" w:hAnsi="宋体" w:cs="宋体"/>
          <w:bCs/>
          <w:color w:val="000000" w:themeColor="text1"/>
          <w:kern w:val="2"/>
          <w:highlight w:val="none"/>
          <w14:textFill>
            <w14:solidFill>
              <w14:schemeClr w14:val="tx1"/>
            </w14:solidFill>
          </w14:textFill>
        </w:rPr>
        <w:t>指理财计划成立后，在一定期限内投资比例无法满足本理财计划约定的投资比例要求。</w:t>
      </w:r>
    </w:p>
    <w:p>
      <w:pPr>
        <w:pStyle w:val="17"/>
        <w:numPr>
          <w:ilvl w:val="0"/>
          <w:numId w:val="15"/>
        </w:numPr>
        <w:adjustRightInd/>
        <w:spacing w:line="360" w:lineRule="auto"/>
        <w:ind w:firstLine="482" w:firstLineChars="200"/>
        <w:rPr>
          <w:rFonts w:hint="eastAsia"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lang w:val="en-US" w:eastAsia="zh-CN"/>
          <w14:textFill>
            <w14:solidFill>
              <w14:schemeClr w14:val="tx1"/>
            </w14:solidFill>
          </w14:textFill>
        </w:rPr>
        <w:t>持有期：</w:t>
      </w:r>
      <w:r>
        <w:rPr>
          <w:rFonts w:hint="eastAsia" w:ascii="宋体" w:hAnsi="宋体" w:cs="宋体"/>
          <w:b w:val="0"/>
          <w:bCs/>
          <w:color w:val="000000" w:themeColor="text1"/>
          <w:kern w:val="2"/>
          <w:highlight w:val="none"/>
          <w:lang w:eastAsia="zh-CN"/>
          <w14:textFill>
            <w14:solidFill>
              <w14:schemeClr w14:val="tx1"/>
            </w14:solidFill>
          </w14:textFill>
        </w:rPr>
        <w:t>指投资者认购或申购后，需</w:t>
      </w:r>
      <w:r>
        <w:rPr>
          <w:rFonts w:hint="eastAsia" w:ascii="宋体" w:hAnsi="宋体" w:cs="宋体"/>
          <w:bCs/>
          <w:color w:val="000000" w:themeColor="text1"/>
          <w:kern w:val="2"/>
          <w:highlight w:val="none"/>
          <w14:textFill>
            <w14:solidFill>
              <w14:schemeClr w14:val="tx1"/>
            </w14:solidFill>
          </w14:textFill>
        </w:rPr>
        <w:t>持有固定期限后才可进行赎回。</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到期日：</w:t>
      </w:r>
      <w:r>
        <w:rPr>
          <w:rFonts w:hint="eastAsia" w:ascii="宋体" w:hAnsi="宋体" w:cs="宋体"/>
          <w:bCs/>
          <w:color w:val="000000" w:themeColor="text1"/>
          <w:kern w:val="2"/>
          <w:highlight w:val="none"/>
          <w14:textFill>
            <w14:solidFill>
              <w14:schemeClr w14:val="tx1"/>
            </w14:solidFill>
          </w14:textFill>
        </w:rPr>
        <w:t>指理财计划终止运作的日期。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收益分配基准日：</w:t>
      </w:r>
      <w:r>
        <w:rPr>
          <w:rFonts w:hint="eastAsia" w:ascii="宋体" w:hAnsi="宋体" w:cs="宋体"/>
          <w:bCs/>
          <w:color w:val="000000" w:themeColor="text1"/>
          <w:kern w:val="2"/>
          <w:highlight w:val="none"/>
          <w14:textFill>
            <w14:solidFill>
              <w14:schemeClr w14:val="tx1"/>
            </w14:solidFill>
          </w14:textFill>
        </w:rPr>
        <w:t>指理财计划进行收益分配时用以确认分配收益金额的最终确认日期。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节假日临时调整：</w:t>
      </w:r>
      <w:r>
        <w:rPr>
          <w:rFonts w:hint="eastAsia" w:ascii="宋体" w:hAnsi="宋体" w:cs="宋体"/>
          <w:bCs/>
          <w:color w:val="000000" w:themeColor="text1"/>
          <w:kern w:val="2"/>
          <w:highlight w:val="none"/>
          <w14:textFill>
            <w14:solidFill>
              <w14:schemeClr w14:val="tx1"/>
            </w14:solidFill>
          </w14:textFill>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提前终止权：</w:t>
      </w:r>
      <w:r>
        <w:rPr>
          <w:rFonts w:hint="eastAsia" w:ascii="宋体" w:hAnsi="宋体" w:cs="宋体"/>
          <w:bCs/>
          <w:color w:val="000000" w:themeColor="text1"/>
          <w:highlight w:val="none"/>
          <w14:textFill>
            <w14:solidFill>
              <w14:schemeClr w14:val="tx1"/>
            </w14:solidFill>
          </w14:textFill>
        </w:rPr>
        <w:t>指在本理财计划存续期内，管理人单方面决定全部提前终止本理财计划的权利。</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提前终止日：</w:t>
      </w:r>
      <w:r>
        <w:rPr>
          <w:rFonts w:hint="eastAsia" w:ascii="宋体" w:hAnsi="宋体" w:cs="宋体"/>
          <w:bCs/>
          <w:color w:val="000000" w:themeColor="text1"/>
          <w:kern w:val="2"/>
          <w:highlight w:val="none"/>
          <w14:textFill>
            <w14:solidFill>
              <w14:schemeClr w14:val="tx1"/>
            </w14:solidFill>
          </w14:textFill>
        </w:rPr>
        <w:t>指</w:t>
      </w:r>
      <w:r>
        <w:rPr>
          <w:rFonts w:hint="eastAsia" w:ascii="宋体" w:hAnsi="宋体" w:cs="宋体"/>
          <w:bCs/>
          <w:color w:val="000000" w:themeColor="text1"/>
          <w:highlight w:val="none"/>
          <w14:textFill>
            <w14:solidFill>
              <w14:schemeClr w14:val="tx1"/>
            </w14:solidFill>
          </w14:textFill>
        </w:rPr>
        <w:t>管理人行使提前终止权的日期，即本理财计划被提前终止、开始停止计算收益的日期。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资金到账日：</w:t>
      </w:r>
      <w:r>
        <w:rPr>
          <w:rFonts w:hint="eastAsia" w:ascii="宋体" w:hAnsi="宋体" w:cs="宋体"/>
          <w:bCs/>
          <w:color w:val="000000" w:themeColor="text1"/>
          <w:highlight w:val="none"/>
          <w14:textFill>
            <w14:solidFill>
              <w14:schemeClr w14:val="tx1"/>
            </w14:solidFill>
          </w14:textFill>
        </w:rPr>
        <w:t>指理财计划终止运作后，资金返还至投资者账户的日期。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开放日：</w:t>
      </w:r>
      <w:r>
        <w:rPr>
          <w:rFonts w:hint="eastAsia" w:ascii="宋体" w:hAnsi="宋体" w:cs="宋体"/>
          <w:bCs/>
          <w:color w:val="000000" w:themeColor="text1"/>
          <w:kern w:val="2"/>
          <w:highlight w:val="none"/>
          <w14:textFill>
            <w14:solidFill>
              <w14:schemeClr w14:val="tx1"/>
            </w14:solidFill>
          </w14:textFill>
        </w:rPr>
        <w:t>指为投资者办理申购、赎回交易的日期。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开放期：</w:t>
      </w:r>
      <w:r>
        <w:rPr>
          <w:rFonts w:hint="eastAsia" w:ascii="宋体" w:hAnsi="宋体" w:cs="宋体"/>
          <w:bCs/>
          <w:color w:val="000000" w:themeColor="text1"/>
          <w:highlight w:val="none"/>
          <w14:textFill>
            <w14:solidFill>
              <w14:schemeClr w14:val="tx1"/>
            </w14:solidFill>
          </w14:textFill>
        </w:rPr>
        <w:t>指管理人向投资者提供申购</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赎回</w:t>
      </w:r>
      <w:r>
        <w:rPr>
          <w:rFonts w:hint="eastAsia" w:ascii="宋体" w:hAnsi="宋体" w:cs="宋体"/>
          <w:bCs/>
          <w:color w:val="000000" w:themeColor="text1"/>
          <w:highlight w:val="none"/>
          <w14:textFill>
            <w14:solidFill>
              <w14:schemeClr w14:val="tx1"/>
            </w14:solidFill>
          </w14:textFill>
        </w:rPr>
        <w:t>交易的时间。</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确认日：</w:t>
      </w:r>
      <w:r>
        <w:rPr>
          <w:rFonts w:hint="eastAsia" w:ascii="宋体" w:hAnsi="宋体" w:cs="宋体"/>
          <w:bCs/>
          <w:color w:val="000000" w:themeColor="text1"/>
          <w:kern w:val="2"/>
          <w:highlight w:val="none"/>
          <w14:textFill>
            <w14:solidFill>
              <w14:schemeClr w14:val="tx1"/>
            </w14:solidFill>
          </w14:textFill>
        </w:rPr>
        <w:t>指管理人确认投资者申购</w:t>
      </w:r>
      <w:r>
        <w:rPr>
          <w:rFonts w:hint="eastAsia" w:ascii="宋体" w:hAnsi="宋体" w:cs="宋体"/>
          <w:bCs/>
          <w:color w:val="000000" w:themeColor="text1"/>
          <w:kern w:val="2"/>
          <w:highlight w:val="none"/>
          <w:lang w:eastAsia="zh-CN"/>
          <w14:textFill>
            <w14:solidFill>
              <w14:schemeClr w14:val="tx1"/>
            </w14:solidFill>
          </w14:textFill>
        </w:rPr>
        <w:t>、</w:t>
      </w:r>
      <w:r>
        <w:rPr>
          <w:rFonts w:hint="eastAsia" w:ascii="宋体" w:hAnsi="宋体" w:cs="宋体"/>
          <w:bCs/>
          <w:color w:val="000000" w:themeColor="text1"/>
          <w:kern w:val="2"/>
          <w:highlight w:val="none"/>
          <w:lang w:val="en-US" w:eastAsia="zh-CN"/>
          <w14:textFill>
            <w14:solidFill>
              <w14:schemeClr w14:val="tx1"/>
            </w14:solidFill>
          </w14:textFill>
        </w:rPr>
        <w:t>赎回</w:t>
      </w:r>
      <w:r>
        <w:rPr>
          <w:rFonts w:hint="eastAsia" w:ascii="宋体" w:hAnsi="宋体" w:cs="宋体"/>
          <w:bCs/>
          <w:color w:val="000000" w:themeColor="text1"/>
          <w:kern w:val="2"/>
          <w:highlight w:val="none"/>
          <w14:textFill>
            <w14:solidFill>
              <w14:schemeClr w14:val="tx1"/>
            </w14:solidFill>
          </w14:textFill>
        </w:rPr>
        <w:t>交易是否有效的日期。</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认购：</w:t>
      </w:r>
      <w:r>
        <w:rPr>
          <w:rFonts w:hint="eastAsia" w:ascii="宋体" w:hAnsi="宋体" w:cs="宋体"/>
          <w:bCs/>
          <w:color w:val="000000" w:themeColor="text1"/>
          <w:kern w:val="2"/>
          <w:highlight w:val="none"/>
          <w14:textFill>
            <w14:solidFill>
              <w14:schemeClr w14:val="tx1"/>
            </w14:solidFill>
          </w14:textFill>
        </w:rPr>
        <w:t>指投资者根据理财计划约定申请购买本理财计划份额的行为。</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申购：</w:t>
      </w:r>
      <w:r>
        <w:rPr>
          <w:rFonts w:hint="eastAsia" w:ascii="宋体" w:hAnsi="宋体" w:cs="宋体"/>
          <w:bCs/>
          <w:color w:val="000000" w:themeColor="text1"/>
          <w:kern w:val="2"/>
          <w:highlight w:val="none"/>
          <w14:textFill>
            <w14:solidFill>
              <w14:schemeClr w14:val="tx1"/>
            </w14:solidFill>
          </w14:textFill>
        </w:rPr>
        <w:t>指理财计划申购开放期内，投资者向管理人进行理财计划份额购买的行为。</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赎回：</w:t>
      </w:r>
      <w:r>
        <w:rPr>
          <w:rFonts w:hint="eastAsia" w:ascii="宋体" w:hAnsi="宋体" w:cs="宋体"/>
          <w:bCs/>
          <w:color w:val="000000" w:themeColor="text1"/>
          <w:kern w:val="2"/>
          <w:highlight w:val="none"/>
          <w14:textFill>
            <w14:solidFill>
              <w14:schemeClr w14:val="tx1"/>
            </w14:solidFill>
          </w14:textFill>
        </w:rPr>
        <w:t>指理财计划</w:t>
      </w:r>
      <w:r>
        <w:rPr>
          <w:rFonts w:hint="eastAsia" w:ascii="宋体" w:hAnsi="宋体" w:cs="宋体"/>
          <w:bCs/>
          <w:color w:val="000000" w:themeColor="text1"/>
          <w:kern w:val="2"/>
          <w:highlight w:val="none"/>
          <w:lang w:eastAsia="zh-CN"/>
          <w14:textFill>
            <w14:solidFill>
              <w14:schemeClr w14:val="tx1"/>
            </w14:solidFill>
          </w14:textFill>
        </w:rPr>
        <w:t>赎回</w:t>
      </w:r>
      <w:r>
        <w:rPr>
          <w:rFonts w:hint="eastAsia" w:ascii="宋体" w:hAnsi="宋体" w:cs="宋体"/>
          <w:bCs/>
          <w:color w:val="000000" w:themeColor="text1"/>
          <w:kern w:val="2"/>
          <w:highlight w:val="none"/>
          <w14:textFill>
            <w14:solidFill>
              <w14:schemeClr w14:val="tx1"/>
            </w14:solidFill>
          </w14:textFill>
        </w:rPr>
        <w:t>开放期内，投资者向管理人进行理财计划份额卖出的行为。</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收益分配：</w:t>
      </w:r>
      <w:r>
        <w:rPr>
          <w:rFonts w:hint="eastAsia" w:ascii="宋体" w:hAnsi="宋体" w:cs="宋体"/>
          <w:bCs/>
          <w:color w:val="000000" w:themeColor="text1"/>
          <w:kern w:val="2"/>
          <w:highlight w:val="none"/>
          <w14:textFill>
            <w14:solidFill>
              <w14:schemeClr w14:val="tx1"/>
            </w14:solidFill>
          </w14:textFill>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理财计划费用/产品费用：</w:t>
      </w:r>
      <w:r>
        <w:rPr>
          <w:rFonts w:hint="eastAsia" w:ascii="宋体" w:hAnsi="宋体" w:cs="宋体"/>
          <w:bCs/>
          <w:color w:val="000000" w:themeColor="text1"/>
          <w:highlight w:val="none"/>
          <w14:textFill>
            <w14:solidFill>
              <w14:schemeClr w14:val="tx1"/>
            </w14:solidFill>
          </w14:textFill>
        </w:rPr>
        <w:t>指管理人为成立理财计划及处理理财计划事务而支出的所有费用，包括但不限于管理人收取的固定管理费、浮动管理费、</w:t>
      </w:r>
      <w:r>
        <w:rPr>
          <w:rFonts w:hint="eastAsia" w:ascii="宋体" w:hAnsi="宋体" w:cs="宋体"/>
          <w:bCs/>
          <w:color w:val="000000" w:themeColor="text1"/>
          <w:highlight w:val="none"/>
          <w:lang w:eastAsia="zh-CN"/>
          <w14:textFill>
            <w14:solidFill>
              <w14:schemeClr w14:val="tx1"/>
            </w14:solidFill>
          </w14:textFill>
        </w:rPr>
        <w:t>销售服务费</w:t>
      </w:r>
      <w:r>
        <w:rPr>
          <w:rFonts w:hint="eastAsia" w:ascii="宋体" w:hAnsi="宋体" w:cs="宋体"/>
          <w:bCs/>
          <w:color w:val="000000" w:themeColor="text1"/>
          <w:highlight w:val="none"/>
          <w14:textFill>
            <w14:solidFill>
              <w14:schemeClr w14:val="tx1"/>
            </w14:solidFill>
          </w14:textFill>
        </w:rPr>
        <w:t>、托管人收取的托管费、交易费用、执行费用等相关费用，具体以</w:t>
      </w:r>
      <w:r>
        <w:rPr>
          <w:rFonts w:hint="eastAsia" w:ascii="宋体" w:hAnsi="宋体" w:cs="宋体"/>
          <w:bCs/>
          <w:color w:val="000000" w:themeColor="text1"/>
          <w:highlight w:val="none"/>
          <w:lang w:eastAsia="zh-CN"/>
          <w14:textFill>
            <w14:solidFill>
              <w14:schemeClr w14:val="tx1"/>
            </w14:solidFill>
          </w14:textFill>
        </w:rPr>
        <w:t>实际发生</w:t>
      </w:r>
      <w:r>
        <w:rPr>
          <w:rFonts w:hint="eastAsia" w:ascii="宋体" w:hAnsi="宋体" w:cs="宋体"/>
          <w:bCs/>
          <w:color w:val="000000" w:themeColor="text1"/>
          <w:highlight w:val="none"/>
          <w14:textFill>
            <w14:solidFill>
              <w14:schemeClr w14:val="tx1"/>
            </w14:solidFill>
          </w14:textFill>
        </w:rPr>
        <w:t>为准。</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bCs w:val="0"/>
          <w:color w:val="000000" w:themeColor="text1"/>
          <w:highlight w:val="none"/>
          <w:lang w:eastAsia="zh-CN"/>
          <w14:textFill>
            <w14:solidFill>
              <w14:schemeClr w14:val="tx1"/>
            </w14:solidFill>
          </w14:textFill>
        </w:rPr>
        <w:t>其他费用：</w:t>
      </w:r>
      <w:r>
        <w:rPr>
          <w:rFonts w:hint="eastAsia" w:ascii="宋体" w:hAnsi="宋体" w:cs="宋体"/>
          <w:b w:val="0"/>
          <w:bCs/>
          <w:color w:val="000000" w:themeColor="text1"/>
          <w:highlight w:val="none"/>
          <w:lang w:eastAsia="zh-CN"/>
          <w14:textFill>
            <w14:solidFill>
              <w14:schemeClr w14:val="tx1"/>
            </w14:solidFill>
          </w14:textFill>
        </w:rPr>
        <w:t>指除理财计划费用以外，理财计划涉及的其他相关费用，包括但不限于认购费、申购费、赎回费、投顾费等，具体以</w:t>
      </w:r>
      <w:r>
        <w:rPr>
          <w:rFonts w:hint="eastAsia" w:ascii="宋体" w:hAnsi="宋体" w:cs="宋体"/>
          <w:bCs/>
          <w:color w:val="000000" w:themeColor="text1"/>
          <w:highlight w:val="none"/>
          <w14:textFill>
            <w14:solidFill>
              <w14:schemeClr w14:val="tx1"/>
            </w14:solidFill>
          </w14:textFill>
        </w:rPr>
        <w:t>本说明书第八条约定</w:t>
      </w:r>
      <w:r>
        <w:rPr>
          <w:rFonts w:hint="eastAsia" w:ascii="宋体" w:hAnsi="宋体" w:cs="宋体"/>
          <w:b w:val="0"/>
          <w:bCs/>
          <w:color w:val="000000" w:themeColor="text1"/>
          <w:highlight w:val="none"/>
          <w:lang w:eastAsia="zh-CN"/>
          <w14:textFill>
            <w14:solidFill>
              <w14:schemeClr w14:val="tx1"/>
            </w14:solidFill>
          </w14:textFill>
        </w:rPr>
        <w:t>为准。</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理财计划估值：</w:t>
      </w:r>
      <w:r>
        <w:rPr>
          <w:rFonts w:hint="eastAsia" w:ascii="宋体" w:hAnsi="宋体" w:cs="宋体"/>
          <w:bCs/>
          <w:color w:val="000000" w:themeColor="text1"/>
          <w:highlight w:val="none"/>
          <w14:textFill>
            <w14:solidFill>
              <w14:schemeClr w14:val="tx1"/>
            </w14:solidFill>
          </w14:textFill>
        </w:rPr>
        <w:t>指计算评估理财计划资产以确定理财计划份额净值的过程。</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理财业绩比较基准：</w:t>
      </w:r>
      <w:r>
        <w:rPr>
          <w:rFonts w:hint="eastAsia" w:ascii="宋体" w:hAnsi="宋体" w:cs="宋体"/>
          <w:bCs/>
          <w:color w:val="000000" w:themeColor="text1"/>
          <w:kern w:val="2"/>
          <w:highlight w:val="none"/>
          <w14:textFill>
            <w14:solidFill>
              <w14:schemeClr w14:val="tx1"/>
            </w14:solidFill>
          </w14:textFill>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指定账户：</w:t>
      </w:r>
      <w:r>
        <w:rPr>
          <w:rFonts w:hint="eastAsia" w:ascii="宋体" w:hAnsi="宋体" w:cs="宋体"/>
          <w:bCs/>
          <w:color w:val="000000" w:themeColor="text1"/>
          <w:kern w:val="2"/>
          <w:highlight w:val="none"/>
          <w14:textFill>
            <w14:solidFill>
              <w14:schemeClr w14:val="tx1"/>
            </w14:solidFill>
          </w14:textFill>
        </w:rPr>
        <w:t>指投资者开立的，在理财计划认/申购时指定扣划本金、返还本金或收益的银行账户。</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lang w:eastAsia="zh-CN"/>
          <w14:textFill>
            <w14:solidFill>
              <w14:schemeClr w14:val="tx1"/>
            </w14:solidFill>
          </w14:textFill>
        </w:rPr>
        <w:t>流</w:t>
      </w:r>
      <w:r>
        <w:rPr>
          <w:rFonts w:hint="eastAsia"/>
          <w:b/>
          <w:bCs w:val="0"/>
          <w:color w:val="000000" w:themeColor="text1"/>
          <w:highlight w:val="none"/>
          <w:lang w:val="en-US" w:eastAsia="zh-CN"/>
          <w14:textFill>
            <w14:solidFill>
              <w14:schemeClr w14:val="tx1"/>
            </w14:solidFill>
          </w14:textFill>
        </w:rPr>
        <w:t>动性受限资产：</w:t>
      </w:r>
      <w:r>
        <w:rPr>
          <w:rFonts w:hint="eastAsia"/>
          <w:color w:val="000000" w:themeColor="text1"/>
          <w:highlight w:val="none"/>
          <w:lang w:val="en-US" w:eastAsia="zh-CN"/>
          <w14:textFill>
            <w14:solidFill>
              <w14:schemeClr w14:val="tx1"/>
            </w14:solidFill>
          </w14:textFill>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7个工作日可变现资产：</w:t>
      </w:r>
      <w:r>
        <w:rPr>
          <w:rFonts w:hint="eastAsia"/>
          <w:color w:val="000000" w:themeColor="text1"/>
          <w:highlight w:val="none"/>
          <w:lang w:val="en-US" w:eastAsia="zh-CN"/>
          <w14:textFill>
            <w14:solidFill>
              <w14:schemeClr w14:val="tx1"/>
            </w14:solidFill>
          </w14:textFill>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2"/>
        </w:numPr>
        <w:adjustRightInd/>
        <w:spacing w:line="360" w:lineRule="auto"/>
        <w:ind w:firstLine="482" w:firstLineChars="200"/>
        <w:outlineLvl w:val="2"/>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相关事件用语</w:t>
      </w:r>
    </w:p>
    <w:p>
      <w:pPr>
        <w:pStyle w:val="17"/>
        <w:numPr>
          <w:ilvl w:val="0"/>
          <w:numId w:val="16"/>
        </w:numPr>
        <w:adjustRightInd/>
        <w:spacing w:line="360" w:lineRule="auto"/>
        <w:ind w:firstLine="482"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不可抗力：</w:t>
      </w:r>
      <w:r>
        <w:rPr>
          <w:rFonts w:hint="eastAsia" w:ascii="宋体" w:hAnsi="宋体" w:cs="宋体"/>
          <w:bCs/>
          <w:color w:val="000000" w:themeColor="text1"/>
          <w:kern w:val="2"/>
          <w:highlight w:val="none"/>
          <w14:textFill>
            <w14:solidFill>
              <w14:schemeClr w14:val="tx1"/>
            </w14:solidFill>
          </w14:textFill>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themeColor="text1"/>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（2）战争、政变、恐怖主义行动、骚乱、罢工；</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巨额赎回：</w:t>
      </w:r>
      <w:r>
        <w:rPr>
          <w:rFonts w:hint="eastAsia" w:ascii="宋体" w:hAnsi="宋体" w:cs="宋体"/>
          <w:bCs/>
          <w:color w:val="000000" w:themeColor="text1"/>
          <w:kern w:val="2"/>
          <w:highlight w:val="none"/>
          <w14:textFill>
            <w14:solidFill>
              <w14:schemeClr w14:val="tx1"/>
            </w14:solidFill>
          </w14:textFill>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lang w:val="en-US" w:eastAsia="zh-CN"/>
          <w14:textFill>
            <w14:solidFill>
              <w14:schemeClr w14:val="tx1"/>
            </w14:solidFill>
          </w14:textFill>
        </w:rPr>
        <w:t>摆动定价机制：</w:t>
      </w:r>
      <w:r>
        <w:rPr>
          <w:rFonts w:hint="eastAsia" w:ascii="宋体" w:hAnsi="宋体" w:cs="宋体"/>
          <w:b w:val="0"/>
          <w:bCs/>
          <w:color w:val="000000" w:themeColor="text1"/>
          <w:kern w:val="2"/>
          <w:highlight w:val="none"/>
          <w:lang w:val="en-US" w:eastAsia="zh-CN"/>
          <w14:textFill>
            <w14:solidFill>
              <w14:schemeClr w14:val="tx1"/>
            </w14:solidFill>
          </w14:textFill>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lang w:val="en-US" w:eastAsia="zh-CN"/>
          <w14:textFill>
            <w14:solidFill>
              <w14:schemeClr w14:val="tx1"/>
            </w14:solidFill>
          </w14:textFill>
        </w:rPr>
        <w:t>短期赎回费机制：</w:t>
      </w:r>
      <w:r>
        <w:rPr>
          <w:rFonts w:hint="eastAsia" w:ascii="宋体" w:hAnsi="宋体" w:cs="宋体"/>
          <w:b w:val="0"/>
          <w:bCs/>
          <w:color w:val="000000" w:themeColor="text1"/>
          <w:kern w:val="2"/>
          <w:highlight w:val="none"/>
          <w:lang w:val="en-US" w:eastAsia="zh-CN"/>
          <w14:textFill>
            <w14:solidFill>
              <w14:schemeClr w14:val="tx1"/>
            </w14:solidFill>
          </w14:textFill>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numPr>
          <w:ilvl w:val="0"/>
          <w:numId w:val="0"/>
        </w:numPr>
        <w:adjustRightInd/>
        <w:spacing w:line="360" w:lineRule="auto"/>
        <w:rPr>
          <w:rFonts w:hint="eastAsia" w:ascii="宋体" w:hAnsi="宋体" w:cs="宋体"/>
          <w:b/>
          <w:color w:val="000000" w:themeColor="text1"/>
          <w:kern w:val="2"/>
          <w:highlight w:val="none"/>
          <w14:textFill>
            <w14:solidFill>
              <w14:schemeClr w14:val="tx1"/>
            </w14:solidFill>
          </w14:textFill>
        </w:rPr>
      </w:pPr>
    </w:p>
    <w:p>
      <w:pPr>
        <w:pStyle w:val="17"/>
        <w:numPr>
          <w:ilvl w:val="0"/>
          <w:numId w:val="18"/>
        </w:numPr>
        <w:adjustRightInd/>
        <w:spacing w:line="360" w:lineRule="auto"/>
        <w:ind w:firstLine="482" w:firstLineChars="200"/>
        <w:outlineLvl w:val="1"/>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风险评级</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产品风险评级由管理人根据产品投资组合、投资运作情况、同类产品过往业绩和风险水平等因素合理确定。根据管理人内部风险评级标准，</w:t>
      </w:r>
      <w:r>
        <w:rPr>
          <w:rFonts w:hint="eastAsia" w:ascii="宋体" w:hAnsi="宋体" w:cs="宋体"/>
          <w:b/>
          <w:color w:val="000000" w:themeColor="text1"/>
          <w:kern w:val="2"/>
          <w:highlight w:val="none"/>
          <w14:textFill>
            <w14:solidFill>
              <w14:schemeClr w14:val="tx1"/>
            </w14:solidFill>
          </w14:textFill>
        </w:rPr>
        <w:t>本理财计划的风险等级为〖R</w:t>
      </w:r>
      <w:r>
        <w:rPr>
          <w:rFonts w:hint="eastAsia" w:ascii="宋体" w:hAnsi="宋体" w:cs="宋体"/>
          <w:b/>
          <w:color w:val="000000" w:themeColor="text1"/>
          <w:kern w:val="2"/>
          <w:highlight w:val="none"/>
          <w:lang w:val="en-US" w:eastAsia="zh-CN"/>
          <w14:textFill>
            <w14:solidFill>
              <w14:schemeClr w14:val="tx1"/>
            </w14:solidFill>
          </w14:textFill>
        </w:rPr>
        <w:t>2</w:t>
      </w:r>
      <w:r>
        <w:rPr>
          <w:rFonts w:hint="eastAsia" w:ascii="宋体" w:hAnsi="宋体" w:cs="宋体"/>
          <w:b/>
          <w:color w:val="000000" w:themeColor="text1"/>
          <w:kern w:val="2"/>
          <w:highlight w:val="none"/>
          <w14:textFill>
            <w14:solidFill>
              <w14:schemeClr w14:val="tx1"/>
            </w14:solidFill>
          </w14:textFill>
        </w:rPr>
        <w:t>〗，〖</w:t>
      </w:r>
      <w:r>
        <w:rPr>
          <w:rFonts w:hint="eastAsia" w:ascii="宋体" w:hAnsi="宋体" w:cs="宋体"/>
          <w:b/>
          <w:color w:val="000000" w:themeColor="text1"/>
          <w:kern w:val="2"/>
          <w:highlight w:val="none"/>
          <w:lang w:val="en-US" w:eastAsia="zh-CN"/>
          <w14:textFill>
            <w14:solidFill>
              <w14:schemeClr w14:val="tx1"/>
            </w14:solidFill>
          </w14:textFill>
        </w:rPr>
        <w:t>中低</w:t>
      </w:r>
      <w:r>
        <w:rPr>
          <w:rFonts w:hint="eastAsia" w:ascii="宋体" w:hAnsi="宋体" w:cs="宋体"/>
          <w:b/>
          <w:color w:val="000000" w:themeColor="text1"/>
          <w:kern w:val="2"/>
          <w:highlight w:val="none"/>
          <w14:textFill>
            <w14:solidFill>
              <w14:schemeClr w14:val="tx1"/>
            </w14:solidFill>
          </w14:textFill>
        </w:rPr>
        <w:t>〗风险。</w:t>
      </w:r>
      <w:r>
        <w:rPr>
          <w:rFonts w:hint="eastAsia" w:ascii="宋体" w:hAnsi="宋体" w:cs="宋体"/>
          <w:bCs/>
          <w:color w:val="000000" w:themeColor="text1"/>
          <w:kern w:val="2"/>
          <w:highlight w:val="none"/>
          <w14:textFill>
            <w14:solidFill>
              <w14:schemeClr w14:val="tx1"/>
            </w14:solidFill>
          </w14:textFill>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内部风险评级</w:t>
            </w:r>
          </w:p>
        </w:tc>
        <w:tc>
          <w:tcPr>
            <w:tcW w:w="1382"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风险程度</w:t>
            </w:r>
          </w:p>
        </w:tc>
        <w:tc>
          <w:tcPr>
            <w:tcW w:w="4755"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R1</w:t>
            </w:r>
          </w:p>
        </w:tc>
        <w:tc>
          <w:tcPr>
            <w:tcW w:w="1382"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低</w:t>
            </w:r>
          </w:p>
        </w:tc>
        <w:tc>
          <w:tcPr>
            <w:tcW w:w="4755"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保守型、</w:t>
            </w:r>
            <w:r>
              <w:rPr>
                <w:rFonts w:hint="eastAsia" w:ascii="宋体" w:hAnsi="宋体" w:cs="宋体"/>
                <w:bCs/>
                <w:color w:val="000000" w:themeColor="text1"/>
                <w:kern w:val="2"/>
                <w:highlight w:val="none"/>
                <w14:textFill>
                  <w14:solidFill>
                    <w14:schemeClr w14:val="tx1"/>
                  </w14:solidFill>
                </w14:textFill>
              </w:rPr>
              <w:t>稳健型</w:t>
            </w:r>
            <w:r>
              <w:rPr>
                <w:rFonts w:hint="eastAsia" w:ascii="宋体" w:hAnsi="宋体" w:cs="宋体"/>
                <w:bCs/>
                <w:color w:val="000000" w:themeColor="text1"/>
                <w:kern w:val="2"/>
                <w:highlight w:val="none"/>
                <w:lang w:eastAsia="zh-CN"/>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平衡型</w:t>
            </w:r>
            <w:r>
              <w:rPr>
                <w:rFonts w:hint="eastAsia" w:ascii="宋体" w:hAnsi="宋体" w:cs="宋体"/>
                <w:bCs/>
                <w:color w:val="000000" w:themeColor="text1"/>
                <w:kern w:val="2"/>
                <w:highlight w:val="none"/>
                <w:lang w:eastAsia="zh-CN"/>
                <w14:textFill>
                  <w14:solidFill>
                    <w14:schemeClr w14:val="tx1"/>
                  </w14:solidFill>
                </w14:textFill>
              </w:rPr>
              <w:t>、成长</w:t>
            </w:r>
            <w:r>
              <w:rPr>
                <w:rFonts w:hint="eastAsia" w:ascii="宋体" w:hAnsi="宋体" w:cs="宋体"/>
                <w:bCs/>
                <w:color w:val="000000" w:themeColor="text1"/>
                <w:kern w:val="2"/>
                <w:highlight w:val="none"/>
                <w14:textFill>
                  <w14:solidFill>
                    <w14:schemeClr w14:val="tx1"/>
                  </w14:solidFill>
                </w14:textFill>
              </w:rPr>
              <w:t>型</w:t>
            </w:r>
            <w:r>
              <w:rPr>
                <w:rFonts w:hint="eastAsia" w:ascii="宋体" w:hAnsi="宋体" w:cs="宋体"/>
                <w:bCs/>
                <w:color w:val="000000" w:themeColor="text1"/>
                <w:kern w:val="2"/>
                <w:highlight w:val="none"/>
                <w:lang w:eastAsia="zh-CN"/>
                <w14:textFill>
                  <w14:solidFill>
                    <w14:schemeClr w14:val="tx1"/>
                  </w14:solidFill>
                </w14:textFill>
              </w:rPr>
              <w:t>、进取</w:t>
            </w:r>
            <w:r>
              <w:rPr>
                <w:rFonts w:hint="eastAsia" w:ascii="宋体" w:hAnsi="宋体" w:cs="宋体"/>
                <w:bCs/>
                <w:color w:val="000000" w:themeColor="text1"/>
                <w:kern w:val="2"/>
                <w:highlight w:val="none"/>
                <w14:textFill>
                  <w14:solidFill>
                    <w14:schemeClr w14:val="tx1"/>
                  </w14:solidFill>
                </w14:textFill>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14:textFill>
                  <w14:solidFill>
                    <w14:schemeClr w14:val="tx1"/>
                  </w14:solidFill>
                </w14:textFill>
              </w:rPr>
              <w:t>R2</w:t>
            </w:r>
          </w:p>
        </w:tc>
        <w:tc>
          <w:tcPr>
            <w:tcW w:w="1382" w:type="dxa"/>
            <w:noWrap w:val="0"/>
            <w:vAlign w:val="top"/>
          </w:tcPr>
          <w:p>
            <w:pPr>
              <w:pStyle w:val="17"/>
              <w:adjustRightInd/>
              <w:spacing w:line="360" w:lineRule="auto"/>
              <w:jc w:val="center"/>
              <w:rPr>
                <w:rFonts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14:textFill>
                  <w14:solidFill>
                    <w14:schemeClr w14:val="tx1"/>
                  </w14:solidFill>
                </w14:textFill>
              </w:rPr>
              <w:t>中低</w:t>
            </w:r>
          </w:p>
        </w:tc>
        <w:tc>
          <w:tcPr>
            <w:tcW w:w="4755" w:type="dxa"/>
            <w:noWrap w:val="0"/>
            <w:vAlign w:val="top"/>
          </w:tcPr>
          <w:p>
            <w:pPr>
              <w:pStyle w:val="17"/>
              <w:adjustRightInd/>
              <w:spacing w:line="360" w:lineRule="auto"/>
              <w:jc w:val="center"/>
              <w:rPr>
                <w:rFonts w:ascii="宋体" w:hAnsi="宋体" w:cs="宋体"/>
                <w:b/>
                <w:bCs w:val="0"/>
                <w:color w:val="000000" w:themeColor="text1"/>
                <w:kern w:val="2"/>
                <w:highlight w:val="none"/>
                <w14:textFill>
                  <w14:solidFill>
                    <w14:schemeClr w14:val="tx1"/>
                  </w14:solidFill>
                </w14:textFill>
              </w:rPr>
            </w:pPr>
            <w:r>
              <w:rPr>
                <w:rFonts w:hint="eastAsia" w:ascii="宋体" w:hAnsi="宋体" w:cs="宋体"/>
                <w:b/>
                <w:bCs w:val="0"/>
                <w:color w:val="000000" w:themeColor="text1"/>
                <w:kern w:val="2"/>
                <w:highlight w:val="none"/>
                <w14:textFill>
                  <w14:solidFill>
                    <w14:schemeClr w14:val="tx1"/>
                  </w14:solidFill>
                </w14:textFill>
              </w:rPr>
              <w:t>稳健型</w:t>
            </w:r>
            <w:r>
              <w:rPr>
                <w:rFonts w:hint="eastAsia" w:ascii="宋体" w:hAnsi="宋体" w:cs="宋体"/>
                <w:b/>
                <w:bCs w:val="0"/>
                <w:color w:val="000000" w:themeColor="text1"/>
                <w:kern w:val="2"/>
                <w:highlight w:val="none"/>
                <w:lang w:eastAsia="zh-CN"/>
                <w14:textFill>
                  <w14:solidFill>
                    <w14:schemeClr w14:val="tx1"/>
                  </w14:solidFill>
                </w14:textFill>
              </w:rPr>
              <w:t>、</w:t>
            </w:r>
            <w:r>
              <w:rPr>
                <w:rFonts w:hint="eastAsia" w:ascii="宋体" w:hAnsi="宋体" w:cs="宋体"/>
                <w:b/>
                <w:bCs w:val="0"/>
                <w:color w:val="000000" w:themeColor="text1"/>
                <w:kern w:val="2"/>
                <w:highlight w:val="none"/>
                <w14:textFill>
                  <w14:solidFill>
                    <w14:schemeClr w14:val="tx1"/>
                  </w14:solidFill>
                </w14:textFill>
              </w:rPr>
              <w:t>平衡型</w:t>
            </w:r>
            <w:r>
              <w:rPr>
                <w:rFonts w:hint="eastAsia" w:ascii="宋体" w:hAnsi="宋体" w:cs="宋体"/>
                <w:b/>
                <w:bCs w:val="0"/>
                <w:color w:val="000000" w:themeColor="text1"/>
                <w:kern w:val="2"/>
                <w:highlight w:val="none"/>
                <w:lang w:eastAsia="zh-CN"/>
                <w14:textFill>
                  <w14:solidFill>
                    <w14:schemeClr w14:val="tx1"/>
                  </w14:solidFill>
                </w14:textFill>
              </w:rPr>
              <w:t>、成长</w:t>
            </w:r>
            <w:r>
              <w:rPr>
                <w:rFonts w:hint="eastAsia" w:ascii="宋体" w:hAnsi="宋体" w:cs="宋体"/>
                <w:b/>
                <w:bCs w:val="0"/>
                <w:color w:val="000000" w:themeColor="text1"/>
                <w:kern w:val="2"/>
                <w:highlight w:val="none"/>
                <w14:textFill>
                  <w14:solidFill>
                    <w14:schemeClr w14:val="tx1"/>
                  </w14:solidFill>
                </w14:textFill>
              </w:rPr>
              <w:t>型</w:t>
            </w:r>
            <w:r>
              <w:rPr>
                <w:rFonts w:hint="eastAsia" w:ascii="宋体" w:hAnsi="宋体" w:cs="宋体"/>
                <w:b/>
                <w:bCs w:val="0"/>
                <w:color w:val="000000" w:themeColor="text1"/>
                <w:kern w:val="2"/>
                <w:highlight w:val="none"/>
                <w:lang w:eastAsia="zh-CN"/>
                <w14:textFill>
                  <w14:solidFill>
                    <w14:schemeClr w14:val="tx1"/>
                  </w14:solidFill>
                </w14:textFill>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R3</w:t>
            </w:r>
          </w:p>
        </w:tc>
        <w:tc>
          <w:tcPr>
            <w:tcW w:w="1382"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中</w:t>
            </w:r>
          </w:p>
        </w:tc>
        <w:tc>
          <w:tcPr>
            <w:tcW w:w="4755"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平衡型</w:t>
            </w:r>
            <w:r>
              <w:rPr>
                <w:rFonts w:hint="eastAsia" w:ascii="宋体" w:hAnsi="宋体" w:cs="宋体"/>
                <w:bCs/>
                <w:color w:val="000000" w:themeColor="text1"/>
                <w:kern w:val="2"/>
                <w:highlight w:val="none"/>
                <w:lang w:eastAsia="zh-CN"/>
                <w14:textFill>
                  <w14:solidFill>
                    <w14:schemeClr w14:val="tx1"/>
                  </w14:solidFill>
                </w14:textFill>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R4</w:t>
            </w:r>
          </w:p>
        </w:tc>
        <w:tc>
          <w:tcPr>
            <w:tcW w:w="1382"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中高</w:t>
            </w:r>
          </w:p>
        </w:tc>
        <w:tc>
          <w:tcPr>
            <w:tcW w:w="4755"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R5</w:t>
            </w:r>
          </w:p>
        </w:tc>
        <w:tc>
          <w:tcPr>
            <w:tcW w:w="1382"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高</w:t>
            </w:r>
          </w:p>
        </w:tc>
        <w:tc>
          <w:tcPr>
            <w:tcW w:w="4755" w:type="dxa"/>
            <w:noWrap w:val="0"/>
            <w:vAlign w:val="top"/>
          </w:tcPr>
          <w:p>
            <w:pPr>
              <w:pStyle w:val="17"/>
              <w:adjustRightInd/>
              <w:spacing w:line="360" w:lineRule="auto"/>
              <w:jc w:val="center"/>
              <w:rPr>
                <w:rFonts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进取型</w:t>
            </w:r>
          </w:p>
        </w:tc>
      </w:tr>
    </w:tbl>
    <w:p>
      <w:pPr>
        <w:pStyle w:val="17"/>
        <w:adjustRightInd/>
        <w:spacing w:line="360" w:lineRule="auto"/>
        <w:ind w:firstLine="480" w:firstLineChars="200"/>
        <w:rPr>
          <w:rFonts w:hint="default" w:ascii="宋体" w:hAnsi="宋体" w:cs="宋体"/>
          <w:bCs/>
          <w:color w:val="000000" w:themeColor="text1"/>
          <w:kern w:val="2"/>
          <w:highlight w:val="none"/>
          <w:lang w:val="en-US" w:eastAsia="zh-CN"/>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投资者风险承受能力评级水平以销售机构评估为准。</w:t>
      </w:r>
    </w:p>
    <w:p>
      <w:pPr>
        <w:pStyle w:val="17"/>
        <w:adjustRightInd/>
        <w:spacing w:line="360" w:lineRule="auto"/>
        <w:rPr>
          <w:rFonts w:hint="eastAsia" w:ascii="宋体" w:hAnsi="宋体" w:cs="宋体"/>
          <w:b/>
          <w:color w:val="000000" w:themeColor="text1"/>
          <w:kern w:val="2"/>
          <w:highlight w:val="none"/>
          <w14:textFill>
            <w14:solidFill>
              <w14:schemeClr w14:val="tx1"/>
            </w14:solidFill>
          </w14:textFill>
        </w:rPr>
      </w:pPr>
    </w:p>
    <w:p>
      <w:pPr>
        <w:pStyle w:val="17"/>
        <w:numPr>
          <w:ilvl w:val="0"/>
          <w:numId w:val="18"/>
        </w:numPr>
        <w:adjustRightInd/>
        <w:spacing w:line="360" w:lineRule="auto"/>
        <w:outlineLvl w:val="1"/>
        <w:rPr>
          <w:rFonts w:hint="eastAsia" w:ascii="宋体" w:hAnsi="宋体" w:cs="宋体"/>
          <w:b/>
          <w:color w:val="000000" w:themeColor="text1"/>
          <w:kern w:val="2"/>
          <w:highlight w:val="none"/>
          <w14:textFill>
            <w14:solidFill>
              <w14:schemeClr w14:val="tx1"/>
            </w14:solidFill>
          </w14:textFill>
        </w:rPr>
      </w:pPr>
      <w:r>
        <w:rPr>
          <w:rFonts w:hint="eastAsia" w:ascii="宋体" w:hAnsi="宋体" w:cs="宋体"/>
          <w:b/>
          <w:color w:val="000000" w:themeColor="text1"/>
          <w:kern w:val="2"/>
          <w:highlight w:val="none"/>
          <w14:textFill>
            <w14:solidFill>
              <w14:schemeClr w14:val="tx1"/>
            </w14:solidFill>
          </w14:textFill>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产品名称</w:t>
            </w:r>
          </w:p>
        </w:tc>
        <w:tc>
          <w:tcPr>
            <w:tcW w:w="7185" w:type="dxa"/>
            <w:noWrap w:val="0"/>
            <w:vAlign w:val="center"/>
          </w:tcPr>
          <w:p>
            <w:pPr>
              <w:widowControl/>
              <w:spacing w:line="360" w:lineRule="auto"/>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幸福99添益(安享优选)7天持有期8期理财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产品简称</w:t>
            </w:r>
          </w:p>
        </w:tc>
        <w:tc>
          <w:tcPr>
            <w:tcW w:w="7185" w:type="dxa"/>
            <w:noWrap w:val="0"/>
            <w:vAlign w:val="center"/>
          </w:tcPr>
          <w:p>
            <w:pPr>
              <w:widowControl/>
              <w:spacing w:line="360" w:lineRule="auto"/>
              <w:contextualSpacing/>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添益(安享优选)7天持有期</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default" w:ascii="宋体" w:hAnsi="宋体" w:eastAsia="宋体" w:cs="宋体"/>
                <w:color w:val="000000" w:themeColor="text1"/>
                <w:sz w:val="21"/>
                <w:szCs w:val="21"/>
                <w:highlight w:val="none"/>
                <w:lang w:val="en-US" w:eastAsia="zh-CN"/>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产品编号</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TYGC7D2508</w:t>
            </w:r>
            <w:r>
              <w:rPr>
                <w:rFonts w:hint="eastAsia" w:ascii="宋体" w:hAnsi="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登记编码</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本理财计划在全国银行业理财信息登记系统的登记编码是〖Z7002225000115〗，投资者可依据该编码在“中国理财网（www.chinawealth.com.cn）”查询本理财计划信息。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发行对象</w:t>
            </w:r>
          </w:p>
        </w:tc>
        <w:tc>
          <w:tcPr>
            <w:tcW w:w="7185" w:type="dxa"/>
            <w:noWrap w:val="0"/>
            <w:vAlign w:val="center"/>
          </w:tcPr>
          <w:p>
            <w:pPr>
              <w:widowControl/>
              <w:spacing w:line="360" w:lineRule="auto"/>
              <w:contextualSpacing/>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本理财计划适合</w:t>
            </w:r>
            <w:r>
              <w:rPr>
                <w:rFonts w:hint="eastAsia" w:ascii="宋体" w:hAnsi="宋体" w:cs="宋体"/>
                <w:b/>
                <w:color w:val="000000" w:themeColor="text1"/>
                <w:sz w:val="21"/>
                <w:szCs w:val="21"/>
                <w:highlight w:val="none"/>
                <w14:textFill>
                  <w14:solidFill>
                    <w14:schemeClr w14:val="tx1"/>
                  </w14:solidFill>
                </w14:textFill>
              </w:rPr>
              <w:t>〖机构投资者〗以及〖</w:t>
            </w:r>
            <w:r>
              <w:rPr>
                <w:rFonts w:hint="eastAsia" w:ascii="宋体" w:hAnsi="宋体" w:cs="宋体"/>
                <w:b/>
                <w:color w:val="000000" w:themeColor="text1"/>
                <w:sz w:val="21"/>
                <w:szCs w:val="21"/>
                <w:highlight w:val="none"/>
                <w:lang w:val="en-US" w:eastAsia="zh-CN"/>
                <w14:textFill>
                  <w14:solidFill>
                    <w14:schemeClr w14:val="tx1"/>
                  </w14:solidFill>
                </w14:textFill>
              </w:rPr>
              <w:t>稳健型、</w:t>
            </w:r>
            <w:r>
              <w:rPr>
                <w:rFonts w:hint="eastAsia" w:ascii="宋体" w:hAnsi="宋体" w:cs="宋体"/>
                <w:b/>
                <w:color w:val="000000" w:themeColor="text1"/>
                <w:sz w:val="21"/>
                <w:szCs w:val="21"/>
                <w:highlight w:val="none"/>
                <w14:textFill>
                  <w14:solidFill>
                    <w14:schemeClr w14:val="tx1"/>
                  </w14:solidFill>
                </w14:textFill>
              </w:rPr>
              <w:t>平衡型、成长型、进取型〗的个人投资者。</w:t>
            </w:r>
            <w:r>
              <w:rPr>
                <w:rFonts w:hint="eastAsia" w:ascii="宋体" w:hAnsi="宋体" w:cs="宋体"/>
                <w:bCs/>
                <w:color w:val="000000" w:themeColor="text1"/>
                <w:kern w:val="2"/>
                <w:sz w:val="21"/>
                <w:szCs w:val="21"/>
                <w:highlight w:val="none"/>
                <w:lang w:eastAsia="zh-CN"/>
                <w14:textFill>
                  <w14:solidFill>
                    <w14:schemeClr w14:val="tx1"/>
                  </w14:solidFill>
                </w14:textFill>
              </w:rPr>
              <w:t>投资者风险承受能力评级水平以销售机构评估为准。</w:t>
            </w:r>
          </w:p>
          <w:p>
            <w:pPr>
              <w:widowControl/>
              <w:spacing w:line="360" w:lineRule="auto"/>
              <w:contextualSpacing/>
              <w:rPr>
                <w:rFonts w:hint="eastAsia" w:ascii="宋体" w:hAnsi="宋体" w:cs="宋体"/>
                <w:b w:val="0"/>
                <w:bCs/>
                <w:color w:val="000000" w:themeColor="text1"/>
                <w:sz w:val="21"/>
                <w:szCs w:val="2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其中：</w:t>
            </w:r>
          </w:p>
          <w:p>
            <w:pPr>
              <w:widowControl/>
              <w:spacing w:line="360" w:lineRule="auto"/>
              <w:contextualSpacing/>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A份额（销售代码</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TYGC7D2508A</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）面向</w:t>
            </w:r>
            <w:r>
              <w:rPr>
                <w:rFonts w:hint="eastAsia" w:ascii="宋体" w:hAnsi="宋体" w:cs="宋体"/>
                <w:color w:val="000000" w:themeColor="text1"/>
                <w:sz w:val="21"/>
                <w:szCs w:val="21"/>
                <w:highlight w:val="none"/>
                <w14:textFill>
                  <w14:solidFill>
                    <w14:schemeClr w14:val="tx1"/>
                  </w14:solidFill>
                </w14:textFill>
              </w:rPr>
              <w:t>〖普通个人投资者和机构客户〗</w:t>
            </w:r>
            <w:r>
              <w:rPr>
                <w:rFonts w:hint="eastAsia" w:ascii="宋体" w:hAnsi="宋体" w:cs="宋体"/>
                <w:color w:val="000000" w:themeColor="text1"/>
                <w:sz w:val="21"/>
                <w:szCs w:val="21"/>
                <w:highlight w:val="none"/>
                <w:lang w:eastAsia="zh-CN"/>
                <w14:textFill>
                  <w14:solidFill>
                    <w14:schemeClr w14:val="tx1"/>
                  </w14:solidFill>
                </w14:textFill>
              </w:rPr>
              <w:t>发售。</w:t>
            </w:r>
          </w:p>
          <w:p>
            <w:pPr>
              <w:widowControl/>
              <w:spacing w:line="360" w:lineRule="auto"/>
              <w:contextualSpacing/>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B份额（销售代码</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TYGC7D2508B</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）面向</w:t>
            </w:r>
            <w:r>
              <w:rPr>
                <w:rFonts w:hint="eastAsia" w:ascii="宋体" w:hAnsi="宋体" w:cs="宋体"/>
                <w:color w:val="000000" w:themeColor="text1"/>
                <w:sz w:val="21"/>
                <w:szCs w:val="21"/>
                <w:highlight w:val="none"/>
                <w14:textFill>
                  <w14:solidFill>
                    <w14:schemeClr w14:val="tx1"/>
                  </w14:solidFill>
                </w14:textFill>
              </w:rPr>
              <w:t>〖普通个人投资者和机构客户〗</w:t>
            </w:r>
            <w:r>
              <w:rPr>
                <w:rFonts w:hint="eastAsia" w:ascii="宋体" w:hAnsi="宋体" w:cs="宋体"/>
                <w:color w:val="000000" w:themeColor="text1"/>
                <w:sz w:val="21"/>
                <w:szCs w:val="21"/>
                <w:highlight w:val="none"/>
                <w:lang w:eastAsia="zh-CN"/>
                <w14:textFill>
                  <w14:solidFill>
                    <w14:schemeClr w14:val="tx1"/>
                  </w14:solidFill>
                </w14:textFill>
              </w:rPr>
              <w:t>发售。</w:t>
            </w:r>
          </w:p>
          <w:p>
            <w:pPr>
              <w:widowControl/>
              <w:spacing w:line="360" w:lineRule="auto"/>
              <w:contextualSpacing/>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E份额（销售代码</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TYGC7D2508E</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）面向</w:t>
            </w:r>
            <w:r>
              <w:rPr>
                <w:rFonts w:hint="eastAsia" w:ascii="宋体" w:hAnsi="宋体" w:cs="宋体"/>
                <w:color w:val="000000" w:themeColor="text1"/>
                <w:sz w:val="21"/>
                <w:szCs w:val="21"/>
                <w:highlight w:val="none"/>
                <w14:textFill>
                  <w14:solidFill>
                    <w14:schemeClr w14:val="tx1"/>
                  </w14:solidFill>
                </w14:textFill>
              </w:rPr>
              <w:t>〖普通个人投资者和机构客户〗</w:t>
            </w:r>
            <w:r>
              <w:rPr>
                <w:rFonts w:hint="eastAsia" w:ascii="宋体" w:hAnsi="宋体" w:cs="宋体"/>
                <w:color w:val="000000" w:themeColor="text1"/>
                <w:sz w:val="21"/>
                <w:szCs w:val="21"/>
                <w:highlight w:val="none"/>
                <w:lang w:eastAsia="zh-CN"/>
                <w14:textFill>
                  <w14:solidFill>
                    <w14:schemeClr w14:val="tx1"/>
                  </w14:solidFill>
                </w14:textFill>
              </w:rPr>
              <w:t>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发行方式</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产品类型</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固定收益</w:t>
            </w:r>
            <w:r>
              <w:rPr>
                <w:rFonts w:hint="eastAsia" w:ascii="宋体" w:hAnsi="宋体" w:cs="宋体"/>
                <w:color w:val="000000" w:themeColor="text1"/>
                <w:sz w:val="21"/>
                <w:szCs w:val="21"/>
                <w:highlight w:val="none"/>
                <w14:textFill>
                  <w14:solidFill>
                    <w14:schemeClr w14:val="tx1"/>
                  </w14:solidFill>
                </w14:textFill>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运作模式</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分级产品</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否</w:t>
            </w:r>
            <w:r>
              <w:rPr>
                <w:rFonts w:hint="eastAsia" w:ascii="宋体" w:hAnsi="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销售范围</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可通过</w:t>
            </w:r>
            <w:r>
              <w:rPr>
                <w:rFonts w:hint="eastAsia" w:ascii="宋体" w:hAnsi="宋体" w:cs="宋体"/>
                <w:color w:val="000000" w:themeColor="text1"/>
                <w:sz w:val="21"/>
                <w:szCs w:val="21"/>
                <w:highlight w:val="none"/>
                <w:lang w:eastAsia="zh-CN"/>
                <w14:textFill>
                  <w14:solidFill>
                    <w14:schemeClr w14:val="tx1"/>
                  </w14:solidFill>
                </w14:textFill>
              </w:rPr>
              <w:t>杭银理财直销渠道和代理</w:t>
            </w:r>
            <w:r>
              <w:rPr>
                <w:rFonts w:hint="eastAsia" w:ascii="宋体" w:hAnsi="宋体" w:cs="宋体"/>
                <w:color w:val="000000" w:themeColor="text1"/>
                <w:sz w:val="21"/>
                <w:szCs w:val="21"/>
                <w:highlight w:val="none"/>
                <w14:textFill>
                  <w14:solidFill>
                    <w14:schemeClr w14:val="tx1"/>
                  </w14:solidFill>
                </w14:textFill>
              </w:rPr>
              <w:t>销售机构的〖营业网点、网上银行、手机银行〗等渠道购买</w:t>
            </w:r>
            <w:r>
              <w:rPr>
                <w:rFonts w:hint="eastAsia" w:ascii="宋体" w:hAnsi="宋体" w:cs="宋体"/>
                <w:color w:val="000000" w:themeColor="text1"/>
                <w:sz w:val="21"/>
                <w:szCs w:val="21"/>
                <w:highlight w:val="none"/>
                <w:lang w:eastAsia="zh-CN"/>
                <w14:textFill>
                  <w14:solidFill>
                    <w14:schemeClr w14:val="tx1"/>
                  </w14:solidFill>
                </w14:textFill>
              </w:rPr>
              <w:t>，通过</w:t>
            </w:r>
            <w:r>
              <w:rPr>
                <w:rFonts w:hint="eastAsia" w:ascii="宋体" w:hAnsi="宋体" w:cs="宋体"/>
                <w:color w:val="000000" w:themeColor="text1"/>
                <w:sz w:val="21"/>
                <w:szCs w:val="21"/>
                <w:highlight w:val="none"/>
                <w:lang w:val="en-US" w:eastAsia="zh-CN"/>
                <w14:textFill>
                  <w14:solidFill>
                    <w14:schemeClr w14:val="tx1"/>
                  </w14:solidFill>
                </w14:textFill>
              </w:rPr>
              <w:t>代理销售机构购买的，具体销售渠道以代理销售机构披露为准</w:t>
            </w:r>
            <w:r>
              <w:rPr>
                <w:rFonts w:hint="eastAsia" w:ascii="宋体" w:hAnsi="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交易币种</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发行规模上限</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300</w:t>
            </w:r>
            <w:r>
              <w:rPr>
                <w:rFonts w:hint="eastAsia" w:ascii="宋体" w:hAnsi="宋体" w:cs="宋体"/>
                <w:color w:val="000000" w:themeColor="text1"/>
                <w:sz w:val="21"/>
                <w:szCs w:val="21"/>
                <w:highlight w:val="none"/>
                <w14:textFill>
                  <w14:solidFill>
                    <w14:schemeClr w14:val="tx1"/>
                  </w14:solidFill>
                </w14:textFill>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认购期</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认购时间</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认购期首日〖9：00〗至认购结束日〖17：00〗</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成立日</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理财期限</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无固定期限</w:t>
            </w:r>
            <w:r>
              <w:rPr>
                <w:rFonts w:hint="eastAsia" w:ascii="宋体" w:hAnsi="宋体" w:cs="宋体"/>
                <w:color w:val="000000" w:themeColor="text1"/>
                <w:sz w:val="21"/>
                <w:szCs w:val="21"/>
                <w:highlight w:val="none"/>
                <w14:textFill>
                  <w14:solidFill>
                    <w14:schemeClr w14:val="tx1"/>
                  </w14:solidFill>
                </w14:textFill>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封闭期</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认购/申购</w:t>
            </w:r>
          </w:p>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起点金额</w:t>
            </w:r>
          </w:p>
        </w:tc>
        <w:tc>
          <w:tcPr>
            <w:tcW w:w="7185" w:type="dxa"/>
            <w:noWrap w:val="0"/>
            <w:vAlign w:val="center"/>
          </w:tcPr>
          <w:p>
            <w:pPr>
              <w:widowControl/>
              <w:spacing w:line="360" w:lineRule="auto"/>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A</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〗起点〖</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〗元整，超过认购/申购起点部分，应为〖</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〗元的整数倍。</w:t>
            </w:r>
          </w:p>
          <w:p>
            <w:pPr>
              <w:widowControl/>
              <w:spacing w:line="360" w:lineRule="auto"/>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B</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〗起点〖</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〗元整，超过认购/申购起点部分，应为〖</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〗元的整数倍。</w:t>
            </w:r>
          </w:p>
          <w:p>
            <w:pPr>
              <w:widowControl/>
              <w:spacing w:line="360" w:lineRule="auto"/>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E</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〗起点〖</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〗元整，超过认购/申购起点部分，应为〖</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〗元的整数倍。</w:t>
            </w:r>
          </w:p>
          <w:p>
            <w:pPr>
              <w:widowControl/>
              <w:spacing w:line="360" w:lineRule="auto"/>
              <w:contextualSpacing/>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p>
            <w:pPr>
              <w:widowControl/>
              <w:spacing w:line="360" w:lineRule="auto"/>
              <w:contextualSpacing/>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认购份额</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认购份额=认购金额</w:t>
            </w:r>
            <w:r>
              <w:rPr>
                <w:rFonts w:hint="eastAsia" w:ascii="宋体" w:hAnsi="宋体" w:cs="宋体"/>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产品成立</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color w:val="000000" w:themeColor="text1"/>
                <w:sz w:val="21"/>
                <w:szCs w:val="21"/>
                <w:highlight w:val="none"/>
                <w:lang w:val="en-US" w:eastAsia="zh-CN"/>
                <w14:textFill>
                  <w14:solidFill>
                    <w14:schemeClr w14:val="tx1"/>
                  </w14:solidFill>
                </w14:textFill>
              </w:rPr>
              <w:t>2000</w:t>
            </w:r>
            <w:r>
              <w:rPr>
                <w:rFonts w:hint="eastAsia" w:ascii="宋体" w:hAnsi="宋体" w:cs="宋体"/>
                <w:color w:val="000000" w:themeColor="text1"/>
                <w:sz w:val="21"/>
                <w:szCs w:val="21"/>
                <w:highlight w:val="none"/>
                <w14:textFill>
                  <w14:solidFill>
                    <w14:schemeClr w14:val="tx1"/>
                  </w14:solidFill>
                </w14:textFill>
              </w:rPr>
              <w:t>〗万元，则管理人可宣布本理财计划不成立并在原定理财计划成立日后〖2〗个工作日内通过管理人或销售机构发布不成立信息，投资者购买的理财资金将在原定成立日后2个工作日内划转至投资者指定理财账户，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themeColor="text1"/>
                <w:sz w:val="21"/>
                <w:szCs w:val="21"/>
                <w:highlight w:val="none"/>
                <w14:textFill>
                  <w14:solidFill>
                    <w14:schemeClr w14:val="tx1"/>
                  </w14:solidFill>
                </w14:textFill>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开放期</w:t>
            </w:r>
          </w:p>
        </w:tc>
        <w:tc>
          <w:tcPr>
            <w:tcW w:w="7185" w:type="dxa"/>
            <w:noWrap w:val="0"/>
            <w:vAlign w:val="center"/>
          </w:tcPr>
          <w:p>
            <w:pPr>
              <w:widowControl/>
              <w:spacing w:line="360" w:lineRule="auto"/>
              <w:contextualSpacing/>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w:t>
            </w:r>
            <w:r>
              <w:rPr>
                <w:rFonts w:hint="eastAsia" w:ascii="宋体" w:hAnsi="宋体" w:cs="宋体"/>
                <w:color w:val="000000" w:themeColor="text1"/>
                <w:sz w:val="21"/>
                <w:szCs w:val="21"/>
                <w:highlight w:val="none"/>
                <w14:textFill>
                  <w14:solidFill>
                    <w14:schemeClr w14:val="tx1"/>
                  </w14:solidFill>
                </w14:textFill>
              </w:rPr>
              <w:t>理财计划</w:t>
            </w:r>
            <w:r>
              <w:rPr>
                <w:rFonts w:hint="eastAsia" w:ascii="宋体" w:hAnsi="宋体" w:cs="宋体"/>
                <w:color w:val="000000" w:themeColor="text1"/>
                <w:sz w:val="21"/>
                <w:szCs w:val="21"/>
                <w:highlight w:val="none"/>
                <w:lang w:val="en-US" w:eastAsia="zh-CN"/>
                <w14:textFill>
                  <w14:solidFill>
                    <w14:schemeClr w14:val="tx1"/>
                  </w14:solidFill>
                </w14:textFill>
              </w:rPr>
              <w:t>的开放期为</w:t>
            </w:r>
            <w:r>
              <w:rPr>
                <w:rFonts w:hint="eastAsia" w:ascii="宋体" w:hAnsi="宋体" w:cs="宋体"/>
                <w:color w:val="000000" w:themeColor="text1"/>
                <w:sz w:val="21"/>
                <w:szCs w:val="21"/>
                <w:highlight w:val="none"/>
                <w14:textFill>
                  <w14:solidFill>
                    <w14:schemeClr w14:val="tx1"/>
                  </w14:solidFill>
                </w14:textFill>
              </w:rPr>
              <w:t>〖封闭期后的</w:t>
            </w:r>
            <w:r>
              <w:rPr>
                <w:rFonts w:hint="eastAsia" w:ascii="宋体" w:hAnsi="宋体" w:cs="宋体"/>
                <w:color w:val="000000" w:themeColor="text1"/>
                <w:sz w:val="21"/>
                <w:szCs w:val="21"/>
                <w:highlight w:val="none"/>
                <w:lang w:val="en-US" w:eastAsia="zh-CN"/>
                <w14:textFill>
                  <w14:solidFill>
                    <w14:schemeClr w14:val="tx1"/>
                  </w14:solidFill>
                </w14:textFill>
              </w:rPr>
              <w:t>每个</w:t>
            </w:r>
            <w:r>
              <w:rPr>
                <w:rFonts w:hint="eastAsia" w:ascii="宋体" w:hAnsi="宋体" w:cs="宋体"/>
                <w:color w:val="000000" w:themeColor="text1"/>
                <w:sz w:val="21"/>
                <w:szCs w:val="21"/>
                <w:highlight w:val="none"/>
                <w14:textFill>
                  <w14:solidFill>
                    <w14:schemeClr w14:val="tx1"/>
                  </w14:solidFill>
                </w14:textFill>
              </w:rPr>
              <w:t>交易日〗。</w:t>
            </w:r>
            <w:r>
              <w:rPr>
                <w:rFonts w:hint="eastAsia" w:ascii="宋体" w:hAnsi="宋体" w:cs="宋体"/>
                <w:color w:val="000000" w:themeColor="text1"/>
                <w:sz w:val="21"/>
                <w:szCs w:val="21"/>
                <w:highlight w:val="none"/>
                <w:lang w:val="en-US" w:eastAsia="zh-CN"/>
                <w14:textFill>
                  <w14:solidFill>
                    <w14:schemeClr w14:val="tx1"/>
                  </w14:solidFill>
                </w14:textFill>
              </w:rPr>
              <w:t>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持有期</w:t>
            </w:r>
          </w:p>
        </w:tc>
        <w:tc>
          <w:tcPr>
            <w:tcW w:w="7185" w:type="dxa"/>
            <w:noWrap w:val="0"/>
            <w:vAlign w:val="center"/>
          </w:tcPr>
          <w:p>
            <w:pPr>
              <w:widowControl/>
              <w:spacing w:line="360" w:lineRule="auto"/>
              <w:contextualSpacing/>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本理财计划的持有期为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天，投资者认购/申购份额确认成功后，每一笔份额需自理财计划成立日（含）/确认日（含）起最低持有满</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天后方可按规则申请赎回。如投资者多次购买理财计划，其中持有</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天及以上的份额，可申请赎回；持有</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天以内的份额，不可申请赎回。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交易时间</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1.本理财计划在每个开放期的开放日工作时间均可进行申购，申购申请将在确认日，即</w:t>
            </w:r>
            <w:r>
              <w:rPr>
                <w:rFonts w:hint="eastAsia" w:ascii="宋体" w:hAnsi="宋体" w:cs="宋体"/>
                <w:color w:val="000000" w:themeColor="text1"/>
                <w:sz w:val="21"/>
                <w:szCs w:val="21"/>
                <w:highlight w:val="none"/>
                <w:lang w:val="en-US" w:eastAsia="zh-CN"/>
                <w14:textFill>
                  <w14:solidFill>
                    <w14:schemeClr w14:val="tx1"/>
                  </w14:solidFill>
                </w14:textFill>
              </w:rPr>
              <w:t>申购申请日</w:t>
            </w:r>
            <w:r>
              <w:rPr>
                <w:rFonts w:hint="eastAsia" w:ascii="宋体" w:hAnsi="宋体" w:cs="宋体"/>
                <w:color w:val="000000" w:themeColor="text1"/>
                <w:sz w:val="21"/>
                <w:szCs w:val="21"/>
                <w:highlight w:val="none"/>
                <w14:textFill>
                  <w14:solidFill>
                    <w14:schemeClr w14:val="tx1"/>
                  </w14:solidFill>
                </w14:textFill>
              </w:rPr>
              <w:t>后的第〖1〗个</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bCs/>
                <w:color w:val="000000" w:themeColor="text1"/>
                <w:sz w:val="21"/>
                <w:szCs w:val="21"/>
                <w:highlight w:val="none"/>
                <w14:textFill>
                  <w14:solidFill>
                    <w14:schemeClr w14:val="tx1"/>
                  </w14:solidFill>
                </w14:textFill>
              </w:rPr>
              <w:t>日进行确认。</w:t>
            </w:r>
            <w:r>
              <w:rPr>
                <w:rFonts w:hint="eastAsia" w:ascii="宋体" w:hAnsi="宋体" w:cs="宋体"/>
                <w:color w:val="000000" w:themeColor="text1"/>
                <w:sz w:val="21"/>
                <w:szCs w:val="21"/>
                <w:highlight w:val="none"/>
                <w14:textFill>
                  <w14:solidFill>
                    <w14:schemeClr w14:val="tx1"/>
                  </w14:solidFill>
                </w14:textFill>
              </w:rPr>
              <w:t>确认日如遇非</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日，则顺延至〖下一</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w:t>
            </w:r>
          </w:p>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满足最低持有期后，本理财计划在每个开放期的开放日工作时间均可进行赎回，赎回申请将在确认日，即赎回申请日后的第</w:t>
            </w:r>
            <w:r>
              <w:rPr>
                <w:rFonts w:hint="eastAsia" w:ascii="宋体" w:hAnsi="宋体" w:cs="宋体"/>
                <w:color w:val="000000" w:themeColor="text1"/>
                <w:sz w:val="21"/>
                <w:szCs w:val="21"/>
                <w:highlight w:val="none"/>
                <w14:textFill>
                  <w14:solidFill>
                    <w14:schemeClr w14:val="tx1"/>
                  </w14:solidFill>
                </w14:textFill>
              </w:rPr>
              <w:t>〖1〗个</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bCs/>
                <w:color w:val="000000" w:themeColor="text1"/>
                <w:sz w:val="21"/>
                <w:szCs w:val="21"/>
                <w:highlight w:val="none"/>
                <w14:textFill>
                  <w14:solidFill>
                    <w14:schemeClr w14:val="tx1"/>
                  </w14:solidFill>
                </w14:textFill>
              </w:rPr>
              <w:t>日进行确认。</w:t>
            </w:r>
            <w:r>
              <w:rPr>
                <w:rFonts w:hint="eastAsia" w:ascii="宋体" w:hAnsi="宋体" w:cs="宋体"/>
                <w:color w:val="000000" w:themeColor="text1"/>
                <w:sz w:val="21"/>
                <w:szCs w:val="21"/>
                <w:highlight w:val="none"/>
                <w14:textFill>
                  <w14:solidFill>
                    <w14:schemeClr w14:val="tx1"/>
                  </w14:solidFill>
                </w14:textFill>
              </w:rPr>
              <w:t>确认日如遇非</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日，则顺延至〖下一</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w:t>
            </w:r>
          </w:p>
          <w:p>
            <w:pPr>
              <w:widowControl/>
              <w:spacing w:line="360" w:lineRule="auto"/>
              <w:contextualSpacing/>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工作时间为每个</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color w:val="000000" w:themeColor="text1"/>
                <w:sz w:val="21"/>
                <w:szCs w:val="21"/>
                <w:highlight w:val="none"/>
                <w14:textFill>
                  <w14:solidFill>
                    <w14:schemeClr w14:val="tx1"/>
                  </w14:solidFill>
                </w14:textFill>
              </w:rPr>
              <w:t>上午〖9:00〗至下午〖17:00〗。确认日如遇非</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color w:val="000000" w:themeColor="text1"/>
                <w:sz w:val="21"/>
                <w:szCs w:val="21"/>
                <w:highlight w:val="none"/>
                <w14:textFill>
                  <w14:solidFill>
                    <w14:schemeClr w14:val="tx1"/>
                  </w14:solidFill>
                </w14:textFill>
              </w:rPr>
              <w:t>，则顺延至〖下一</w:t>
            </w:r>
            <w:r>
              <w:rPr>
                <w:rFonts w:hint="eastAsia" w:ascii="宋体" w:hAnsi="宋体" w:cs="宋体"/>
                <w:color w:val="000000" w:themeColor="text1"/>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p>
            <w:pPr>
              <w:widowControl/>
              <w:spacing w:line="360" w:lineRule="auto"/>
              <w:contextualSpacing/>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4.在</w:t>
            </w:r>
            <w:r>
              <w:rPr>
                <w:rFonts w:hint="eastAsia" w:ascii="宋体" w:hAnsi="宋体" w:cs="宋体"/>
                <w:color w:val="000000" w:themeColor="text1"/>
                <w:sz w:val="21"/>
                <w:szCs w:val="21"/>
                <w:highlight w:val="none"/>
                <w:lang w:val="en-US" w:eastAsia="zh-CN"/>
                <w14:textFill>
                  <w14:solidFill>
                    <w14:schemeClr w14:val="tx1"/>
                  </w14:solidFill>
                </w14:textFill>
              </w:rPr>
              <w:t>交易日的</w:t>
            </w:r>
            <w:r>
              <w:rPr>
                <w:rFonts w:hint="eastAsia" w:ascii="宋体" w:hAnsi="宋体" w:cs="宋体"/>
                <w:color w:val="000000" w:themeColor="text1"/>
                <w:sz w:val="21"/>
                <w:szCs w:val="21"/>
                <w:highlight w:val="none"/>
                <w14:textFill>
                  <w14:solidFill>
                    <w14:schemeClr w14:val="tx1"/>
                  </w14:solidFill>
                </w14:textFill>
              </w:rPr>
              <w:t>〖17:00〗</w:t>
            </w:r>
            <w:r>
              <w:rPr>
                <w:rFonts w:hint="eastAsia" w:ascii="宋体" w:hAnsi="宋体" w:cs="宋体"/>
                <w:bCs/>
                <w:color w:val="000000" w:themeColor="text1"/>
                <w:sz w:val="21"/>
                <w:szCs w:val="21"/>
                <w:highlight w:val="none"/>
                <w:lang w:val="en-US" w:eastAsia="zh-CN"/>
                <w14:textFill>
                  <w14:solidFill>
                    <w14:schemeClr w14:val="tx1"/>
                  </w14:solidFill>
                </w14:textFill>
              </w:rPr>
              <w:t>之前提交的申购和赎回申请，申请日为提出申请当日；在</w:t>
            </w:r>
            <w:r>
              <w:rPr>
                <w:rFonts w:hint="eastAsia" w:ascii="宋体" w:hAnsi="宋体" w:cs="宋体"/>
                <w:color w:val="000000" w:themeColor="text1"/>
                <w:kern w:val="2"/>
                <w:sz w:val="21"/>
                <w:szCs w:val="21"/>
                <w:highlight w:val="none"/>
                <w:lang w:val="en-US" w:eastAsia="zh-CN"/>
                <w14:textFill>
                  <w14:solidFill>
                    <w14:schemeClr w14:val="tx1"/>
                  </w14:solidFill>
                </w14:textFill>
              </w:rPr>
              <w:t>交易日</w:t>
            </w:r>
            <w:r>
              <w:rPr>
                <w:rFonts w:hint="eastAsia" w:ascii="宋体" w:hAnsi="宋体" w:cs="宋体"/>
                <w:bCs/>
                <w:color w:val="000000" w:themeColor="text1"/>
                <w:sz w:val="21"/>
                <w:szCs w:val="21"/>
                <w:highlight w:val="none"/>
                <w:lang w:val="en-US" w:eastAsia="zh-CN"/>
                <w14:textFill>
                  <w14:solidFill>
                    <w14:schemeClr w14:val="tx1"/>
                  </w14:solidFill>
                </w14:textFill>
              </w:rPr>
              <w:t>的</w:t>
            </w:r>
            <w:r>
              <w:rPr>
                <w:rFonts w:hint="eastAsia" w:ascii="宋体" w:hAnsi="宋体" w:cs="宋体"/>
                <w:color w:val="000000" w:themeColor="text1"/>
                <w:sz w:val="21"/>
                <w:szCs w:val="21"/>
                <w:highlight w:val="none"/>
                <w14:textFill>
                  <w14:solidFill>
                    <w14:schemeClr w14:val="tx1"/>
                  </w14:solidFill>
                </w14:textFill>
              </w:rPr>
              <w:t>〖17:00〗</w:t>
            </w:r>
            <w:r>
              <w:rPr>
                <w:rFonts w:hint="eastAsia" w:ascii="宋体" w:hAnsi="宋体" w:cs="宋体"/>
                <w:bCs/>
                <w:color w:val="000000" w:themeColor="text1"/>
                <w:sz w:val="21"/>
                <w:szCs w:val="21"/>
                <w:highlight w:val="none"/>
                <w:lang w:val="en-US" w:eastAsia="zh-CN"/>
                <w14:textFill>
                  <w14:solidFill>
                    <w14:schemeClr w14:val="tx1"/>
                  </w14:solidFill>
                </w14:textFill>
              </w:rPr>
              <w:t>之后提交的申购和赎回申请，申请日为提出申请日的</w:t>
            </w:r>
            <w:r>
              <w:rPr>
                <w:rFonts w:hint="eastAsia" w:ascii="宋体" w:hAnsi="宋体" w:cs="宋体"/>
                <w:color w:val="000000" w:themeColor="text1"/>
                <w:sz w:val="21"/>
                <w:szCs w:val="21"/>
                <w:highlight w:val="none"/>
                <w14:textFill>
                  <w14:solidFill>
                    <w14:schemeClr w14:val="tx1"/>
                  </w14:solidFill>
                </w14:textFill>
              </w:rPr>
              <w:t>〖下一</w:t>
            </w:r>
            <w:r>
              <w:rPr>
                <w:rFonts w:hint="eastAsia" w:ascii="宋体" w:hAnsi="宋体" w:cs="宋体"/>
                <w:color w:val="000000" w:themeColor="text1"/>
                <w:kern w:val="2"/>
                <w:sz w:val="21"/>
                <w:szCs w:val="21"/>
                <w:highlight w:val="none"/>
                <w:lang w:val="en-US" w:eastAsia="zh-CN"/>
                <w14:textFill>
                  <w14:solidFill>
                    <w14:schemeClr w14:val="tx1"/>
                  </w14:solidFill>
                </w14:textFill>
              </w:rPr>
              <w:t>交易</w:t>
            </w:r>
            <w:r>
              <w:rPr>
                <w:rFonts w:hint="eastAsia" w:ascii="宋体" w:hAnsi="宋体" w:cs="宋体"/>
                <w:color w:val="000000" w:themeColor="text1"/>
                <w:sz w:val="21"/>
                <w:szCs w:val="21"/>
                <w:highlight w:val="none"/>
                <w14:textFill>
                  <w14:solidFill>
                    <w14:schemeClr w14:val="tx1"/>
                  </w14:solidFill>
                </w14:textFill>
              </w:rPr>
              <w:t>日〗。</w:t>
            </w:r>
          </w:p>
          <w:p>
            <w:pPr>
              <w:widowControl/>
              <w:spacing w:line="360" w:lineRule="auto"/>
              <w:contextualSpacing/>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5.募集期/开放期内提交的交易申请，在理财计划成立日/确认日前一交易日下午</w:t>
            </w:r>
            <w:r>
              <w:rPr>
                <w:rFonts w:hint="eastAsia" w:ascii="宋体" w:hAnsi="宋体" w:cs="宋体"/>
                <w:color w:val="000000" w:themeColor="text1"/>
                <w:sz w:val="21"/>
                <w:szCs w:val="21"/>
                <w:highlight w:val="none"/>
                <w14:textFill>
                  <w14:solidFill>
                    <w14:schemeClr w14:val="tx1"/>
                  </w14:solidFill>
                </w14:textFill>
              </w:rPr>
              <w:t>〖17:00〗</w:t>
            </w:r>
            <w:r>
              <w:rPr>
                <w:rFonts w:hint="eastAsia" w:ascii="宋体" w:hAnsi="宋体" w:cs="宋体"/>
                <w:color w:val="000000" w:themeColor="text1"/>
                <w:kern w:val="0"/>
                <w:sz w:val="21"/>
                <w:szCs w:val="21"/>
                <w:highlight w:val="none"/>
                <w:lang w:val="en-US" w:eastAsia="zh-CN"/>
                <w14:textFill>
                  <w14:solidFill>
                    <w14:schemeClr w14:val="tx1"/>
                  </w14:solidFill>
                </w14:textFill>
              </w:rPr>
              <w:t>之前可以撤单。</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p>
            <w:pPr>
              <w:widowControl/>
              <w:spacing w:line="360" w:lineRule="auto"/>
              <w:contextualSpacing/>
              <w:rPr>
                <w:rFonts w:hint="default"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巨额赎回</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理财计划存续期内，若理财计划开放日净赎回申请份额超过上一日日终理财计划总份额〖10%〗时，管理人有权暂停或拒绝接受赎回申请，并最迟于下一工作日进行对外公告。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单户限额</w:t>
            </w:r>
          </w:p>
        </w:tc>
        <w:tc>
          <w:tcPr>
            <w:tcW w:w="7185" w:type="dxa"/>
            <w:noWrap w:val="0"/>
            <w:vAlign w:val="center"/>
          </w:tcPr>
          <w:p>
            <w:pPr>
              <w:widowControl/>
              <w:spacing w:line="360" w:lineRule="auto"/>
              <w:contextualSpacing/>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1.单户持有份额不得超过理财计划总份额的50%。</w:t>
            </w:r>
          </w:p>
          <w:p>
            <w:pPr>
              <w:widowControl/>
              <w:spacing w:line="360" w:lineRule="auto"/>
              <w:contextualSpacing/>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2.单户持有最高</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金额</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5000</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万元</w:t>
            </w:r>
            <w:r>
              <w:rPr>
                <w:rFonts w:hint="eastAsia" w:ascii="宋体" w:hAnsi="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申购份额</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申购份额=申购金额÷确认日</w:t>
            </w:r>
            <w:r>
              <w:rPr>
                <w:rFonts w:hint="eastAsia" w:ascii="宋体" w:hAnsi="宋体" w:cs="宋体"/>
                <w:bCs/>
                <w:color w:val="000000" w:themeColor="text1"/>
                <w:sz w:val="21"/>
                <w:szCs w:val="21"/>
                <w:highlight w:val="none"/>
                <w:lang w:eastAsia="zh-CN"/>
                <w14:textFill>
                  <w14:solidFill>
                    <w14:schemeClr w14:val="tx1"/>
                  </w14:solidFill>
                </w14:textFill>
              </w:rPr>
              <w:t>前一</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bCs/>
                <w:color w:val="000000" w:themeColor="text1"/>
                <w:sz w:val="21"/>
                <w:szCs w:val="21"/>
                <w:highlight w:val="none"/>
                <w14:textFill>
                  <w14:solidFill>
                    <w14:schemeClr w14:val="tx1"/>
                  </w14:solidFill>
                </w14:textFill>
              </w:rPr>
              <w:t>的单位净值。申购</w:t>
            </w:r>
            <w:r>
              <w:rPr>
                <w:rFonts w:hint="eastAsia" w:ascii="宋体" w:hAnsi="宋体" w:cs="宋体"/>
                <w:color w:val="000000" w:themeColor="text1"/>
                <w:sz w:val="21"/>
                <w:szCs w:val="21"/>
                <w:highlight w:val="none"/>
                <w14:textFill>
                  <w14:solidFill>
                    <w14:schemeClr w14:val="tx1"/>
                  </w14:solidFill>
                </w14:textFill>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赎回金额</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赎回金额=赎</w:t>
            </w:r>
            <w:r>
              <w:rPr>
                <w:rFonts w:hint="eastAsia" w:ascii="宋体" w:hAnsi="宋体" w:cs="宋体"/>
                <w:bCs/>
                <w:color w:val="000000" w:themeColor="text1"/>
                <w:sz w:val="21"/>
                <w:szCs w:val="21"/>
                <w:highlight w:val="none"/>
                <w14:textFill>
                  <w14:solidFill>
                    <w14:schemeClr w14:val="tx1"/>
                  </w14:solidFill>
                </w14:textFill>
              </w:rPr>
              <w:t>回份额×确认日</w:t>
            </w:r>
            <w:r>
              <w:rPr>
                <w:rFonts w:hint="eastAsia" w:ascii="宋体" w:hAnsi="宋体" w:cs="宋体"/>
                <w:bCs/>
                <w:color w:val="000000" w:themeColor="text1"/>
                <w:sz w:val="21"/>
                <w:szCs w:val="21"/>
                <w:highlight w:val="none"/>
                <w:lang w:eastAsia="zh-CN"/>
                <w14:textFill>
                  <w14:solidFill>
                    <w14:schemeClr w14:val="tx1"/>
                  </w14:solidFill>
                </w14:textFill>
              </w:rPr>
              <w:t>前一</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bCs/>
                <w:color w:val="000000" w:themeColor="text1"/>
                <w:sz w:val="21"/>
                <w:szCs w:val="21"/>
                <w:highlight w:val="none"/>
                <w14:textFill>
                  <w14:solidFill>
                    <w14:schemeClr w14:val="tx1"/>
                  </w14:solidFill>
                </w14:textFill>
              </w:rPr>
              <w:t>的单位净值</w:t>
            </w:r>
            <w:r>
              <w:rPr>
                <w:rFonts w:hint="eastAsia" w:ascii="宋体" w:hAnsi="宋体" w:cs="宋体"/>
                <w:bCs/>
                <w:color w:val="000000" w:themeColor="text1"/>
                <w:sz w:val="21"/>
                <w:szCs w:val="21"/>
                <w:highlight w:val="none"/>
                <w:lang w:val="en-US" w:eastAsia="zh-CN"/>
                <w14:textFill>
                  <w14:solidFill>
                    <w14:schemeClr w14:val="tx1"/>
                  </w14:solidFill>
                </w14:textFill>
              </w:rPr>
              <w:t>-浮动管理费（如有）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单位净值</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单位净值=理财计划估值日理财计划总净值</w:t>
            </w:r>
            <w:r>
              <w:rPr>
                <w:rFonts w:hint="eastAsia" w:ascii="宋体" w:hAnsi="宋体" w:cs="宋体"/>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理财计划总份额，单位净值〖保留小数点后</w:t>
            </w:r>
            <w:r>
              <w:rPr>
                <w:rFonts w:hint="eastAsia" w:ascii="宋体" w:hAnsi="宋体" w:cs="宋体"/>
                <w:color w:val="000000" w:themeColor="text1"/>
                <w:sz w:val="21"/>
                <w:szCs w:val="21"/>
                <w:highlight w:val="none"/>
                <w:lang w:val="en-US" w:eastAsia="zh-CN"/>
                <w14:textFill>
                  <w14:solidFill>
                    <w14:schemeClr w14:val="tx1"/>
                  </w14:solidFill>
                </w14:textFill>
              </w:rPr>
              <w:t>六</w:t>
            </w:r>
            <w:r>
              <w:rPr>
                <w:rFonts w:hint="eastAsia" w:ascii="宋体" w:hAnsi="宋体" w:cs="宋体"/>
                <w:color w:val="000000" w:themeColor="text1"/>
                <w:sz w:val="21"/>
                <w:szCs w:val="21"/>
                <w:highlight w:val="none"/>
                <w14:textFill>
                  <w14:solidFill>
                    <w14:schemeClr w14:val="tx1"/>
                  </w14:solidFill>
                </w14:textFill>
              </w:rPr>
              <w:t>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六</w:t>
            </w:r>
            <w:r>
              <w:rPr>
                <w:rFonts w:hint="eastAsia" w:ascii="宋体" w:hAnsi="宋体" w:cs="宋体"/>
                <w:color w:val="000000" w:themeColor="text1"/>
                <w:sz w:val="21"/>
                <w:szCs w:val="21"/>
                <w:highlight w:val="none"/>
                <w:lang w:eastAsia="zh-CN"/>
                <w14:textFill>
                  <w14:solidFill>
                    <w14:schemeClr w14:val="tx1"/>
                  </w14:solidFill>
                </w14:textFill>
              </w:rPr>
              <w:t>位后去尾</w:t>
            </w:r>
            <w:r>
              <w:rPr>
                <w:rFonts w:hint="eastAsia" w:ascii="宋体" w:hAnsi="宋体" w:cs="宋体"/>
                <w:color w:val="000000" w:themeColor="text1"/>
                <w:sz w:val="21"/>
                <w:szCs w:val="21"/>
                <w:highlight w:val="none"/>
                <w14:textFill>
                  <w14:solidFill>
                    <w14:schemeClr w14:val="tx1"/>
                  </w14:solidFill>
                </w14:textFill>
              </w:rPr>
              <w:t>〗。</w:t>
            </w:r>
          </w:p>
          <w:p>
            <w:pPr>
              <w:widowControl/>
              <w:spacing w:line="360" w:lineRule="auto"/>
              <w:contextualSpacing/>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理财计划总净值=理财计划认购总额+理财计划所获总收益-理财计划总费用（包括但不限于</w:t>
            </w:r>
            <w:r>
              <w:rPr>
                <w:rFonts w:hint="eastAsia" w:ascii="宋体" w:hAnsi="宋体" w:cs="宋体"/>
                <w:color w:val="000000" w:themeColor="text1"/>
                <w:sz w:val="21"/>
                <w:szCs w:val="21"/>
                <w:highlight w:val="none"/>
                <w:lang w:val="en-US" w:eastAsia="zh-CN"/>
                <w14:textFill>
                  <w14:solidFill>
                    <w14:schemeClr w14:val="tx1"/>
                  </w14:solidFill>
                </w14:textFill>
              </w:rPr>
              <w:t>固定</w:t>
            </w:r>
            <w:r>
              <w:rPr>
                <w:rFonts w:hint="eastAsia" w:ascii="宋体" w:hAnsi="宋体" w:cs="宋体"/>
                <w:color w:val="000000" w:themeColor="text1"/>
                <w:sz w:val="21"/>
                <w:szCs w:val="21"/>
                <w:highlight w:val="none"/>
                <w14:textFill>
                  <w14:solidFill>
                    <w14:schemeClr w14:val="tx1"/>
                  </w14:solidFill>
                </w14:textFill>
              </w:rPr>
              <w:t>管理费、托管费、</w:t>
            </w:r>
            <w:r>
              <w:rPr>
                <w:rFonts w:hint="eastAsia" w:ascii="宋体" w:hAnsi="宋体" w:cs="宋体"/>
                <w:color w:val="000000" w:themeColor="text1"/>
                <w:sz w:val="21"/>
                <w:szCs w:val="21"/>
                <w:highlight w:val="none"/>
                <w:lang w:eastAsia="zh-CN"/>
                <w14:textFill>
                  <w14:solidFill>
                    <w14:schemeClr w14:val="tx1"/>
                  </w14:solidFill>
                </w14:textFill>
              </w:rPr>
              <w:t>销售服务费、</w:t>
            </w:r>
            <w:r>
              <w:rPr>
                <w:rFonts w:hint="eastAsia" w:ascii="宋体" w:hAnsi="宋体" w:cs="宋体"/>
                <w:color w:val="000000" w:themeColor="text1"/>
                <w:sz w:val="21"/>
                <w:szCs w:val="21"/>
                <w:highlight w:val="none"/>
                <w:lang w:val="en-US" w:eastAsia="zh-CN"/>
                <w14:textFill>
                  <w14:solidFill>
                    <w14:schemeClr w14:val="tx1"/>
                  </w14:solidFill>
                </w14:textFill>
              </w:rPr>
              <w:t>浮动管理费（如有）</w:t>
            </w:r>
            <w:r>
              <w:rPr>
                <w:rFonts w:hint="eastAsia" w:ascii="宋体" w:hAnsi="宋体" w:cs="宋体"/>
                <w:color w:val="000000" w:themeColor="text1"/>
                <w:sz w:val="21"/>
                <w:szCs w:val="21"/>
                <w:highlight w:val="none"/>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资金与收益支付方式</w:t>
            </w:r>
          </w:p>
        </w:tc>
        <w:tc>
          <w:tcPr>
            <w:tcW w:w="7185" w:type="dxa"/>
            <w:noWrap w:val="0"/>
            <w:vAlign w:val="center"/>
          </w:tcPr>
          <w:p>
            <w:pPr>
              <w:widowControl/>
              <w:spacing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1.赎回资金确认后，最快</w:t>
            </w:r>
            <w:r>
              <w:rPr>
                <w:rFonts w:hint="eastAsia" w:ascii="宋体" w:hAnsi="宋体" w:cs="宋体"/>
                <w:b/>
                <w:color w:val="000000" w:themeColor="text1"/>
                <w:sz w:val="21"/>
                <w:szCs w:val="21"/>
                <w:highlight w:val="none"/>
                <w:lang w:val="en-US" w:eastAsia="zh-CN"/>
                <w14:textFill>
                  <w14:solidFill>
                    <w14:schemeClr w14:val="tx1"/>
                  </w14:solidFill>
                </w14:textFill>
              </w:rPr>
              <w:t>确认日当日</w:t>
            </w:r>
            <w:r>
              <w:rPr>
                <w:rFonts w:hint="eastAsia" w:ascii="宋体" w:hAnsi="宋体" w:cs="宋体"/>
                <w:color w:val="000000" w:themeColor="text1"/>
                <w:sz w:val="21"/>
                <w:szCs w:val="21"/>
                <w:highlight w:val="none"/>
                <w14:textFill>
                  <w14:solidFill>
                    <w14:schemeClr w14:val="tx1"/>
                  </w14:solidFill>
                </w14:textFill>
              </w:rPr>
              <w:t>，最晚〖</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个交易日</w:t>
            </w:r>
            <w:r>
              <w:rPr>
                <w:rFonts w:hint="eastAsia" w:ascii="宋体" w:hAnsi="宋体" w:cs="宋体"/>
                <w:color w:val="000000" w:themeColor="text1"/>
                <w:sz w:val="21"/>
                <w:szCs w:val="21"/>
                <w:highlight w:val="none"/>
                <w14:textFill>
                  <w14:solidFill>
                    <w14:schemeClr w14:val="tx1"/>
                  </w14:solidFill>
                </w14:textFill>
              </w:rPr>
              <w:t>内（遇节假日顺延）支付。如遇资金在途或法定工作日调整，实际资金到账日以公告为准。</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2.理财计划到期后，最快〖</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〗个</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color w:val="000000" w:themeColor="text1"/>
                <w:sz w:val="21"/>
                <w:szCs w:val="21"/>
                <w:highlight w:val="none"/>
                <w14:textFill>
                  <w14:solidFill>
                    <w14:schemeClr w14:val="tx1"/>
                  </w14:solidFill>
                </w14:textFill>
              </w:rPr>
              <w:t>，最晚〖</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〗个</w:t>
            </w:r>
            <w:r>
              <w:rPr>
                <w:rFonts w:hint="eastAsia" w:ascii="宋体" w:hAnsi="宋体" w:cs="宋体"/>
                <w:color w:val="000000" w:themeColor="text1"/>
                <w:sz w:val="21"/>
                <w:szCs w:val="21"/>
                <w:highlight w:val="none"/>
                <w:lang w:val="en-US" w:eastAsia="zh-CN"/>
                <w14:textFill>
                  <w14:solidFill>
                    <w14:schemeClr w14:val="tx1"/>
                  </w14:solidFill>
                </w14:textFill>
              </w:rPr>
              <w:t>交易日</w:t>
            </w:r>
            <w:r>
              <w:rPr>
                <w:rFonts w:hint="eastAsia" w:ascii="宋体" w:hAnsi="宋体" w:cs="宋体"/>
                <w:color w:val="000000" w:themeColor="text1"/>
                <w:sz w:val="21"/>
                <w:szCs w:val="21"/>
                <w:highlight w:val="none"/>
                <w14:textFill>
                  <w14:solidFill>
                    <w14:schemeClr w14:val="tx1"/>
                  </w14:solidFill>
                </w14:textFill>
              </w:rPr>
              <w:t>内（遇节假日顺延）支付。如遇资金在途或法定工作日调整，实际资金到账日以公告为准。</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收益分配</w:t>
            </w:r>
          </w:p>
        </w:tc>
        <w:tc>
          <w:tcPr>
            <w:tcW w:w="7185" w:type="dxa"/>
            <w:noWrap w:val="0"/>
            <w:vAlign w:val="center"/>
          </w:tcPr>
          <w:p>
            <w:pPr>
              <w:widowControl/>
              <w:spacing w:line="360" w:lineRule="auto"/>
              <w:contextualSpacing/>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在满足收益分配基准日理财计划份额净值大于1元的情况下，管理人将〖</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cs="宋体"/>
                <w:color w:val="000000" w:themeColor="text1"/>
                <w:sz w:val="21"/>
                <w:szCs w:val="21"/>
                <w:highlight w:val="none"/>
                <w14:textFill>
                  <w14:solidFill>
                    <w14:schemeClr w14:val="tx1"/>
                  </w14:solidFill>
                </w14:textFill>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业绩比较基准</w:t>
            </w:r>
          </w:p>
        </w:tc>
        <w:tc>
          <w:tcPr>
            <w:tcW w:w="7185" w:type="dxa"/>
            <w:noWrap w:val="0"/>
            <w:vAlign w:val="center"/>
          </w:tcPr>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本理财计划</w:t>
            </w:r>
            <w:r>
              <w:rPr>
                <w:rFonts w:hint="eastAsia" w:ascii="宋体" w:hAnsi="宋体" w:cs="宋体"/>
                <w:color w:val="000000" w:themeColor="text1"/>
                <w:sz w:val="21"/>
                <w:szCs w:val="21"/>
                <w:highlight w:val="none"/>
                <w:lang w:val="en-US" w:eastAsia="zh-CN"/>
                <w14:textFill>
                  <w14:solidFill>
                    <w14:schemeClr w14:val="tx1"/>
                  </w14:solidFill>
                </w14:textFill>
              </w:rPr>
              <w:t>各份额</w:t>
            </w:r>
            <w:r>
              <w:rPr>
                <w:rFonts w:hint="eastAsia" w:ascii="宋体" w:hAnsi="宋体" w:cs="宋体"/>
                <w:color w:val="000000" w:themeColor="text1"/>
                <w:sz w:val="21"/>
                <w:szCs w:val="21"/>
                <w:highlight w:val="none"/>
                <w14:textFill>
                  <w14:solidFill>
                    <w14:schemeClr w14:val="tx1"/>
                  </w14:solidFill>
                </w14:textFill>
              </w:rPr>
              <w:t>业绩比较基准为〖</w:t>
            </w:r>
            <w:r>
              <w:rPr>
                <w:rFonts w:hint="eastAsia" w:ascii="宋体" w:hAnsi="宋体" w:cs="宋体"/>
                <w:color w:val="000000" w:themeColor="text1"/>
                <w:sz w:val="21"/>
                <w:szCs w:val="21"/>
                <w:highlight w:val="none"/>
                <w:lang w:val="en-US" w:eastAsia="zh-CN"/>
                <w14:textFill>
                  <w14:solidFill>
                    <w14:schemeClr w14:val="tx1"/>
                  </w14:solidFill>
                </w14:textFill>
              </w:rPr>
              <w:t>中国人民银行公布的7天通知存款利率</w:t>
            </w:r>
            <w:r>
              <w:rPr>
                <w:rFonts w:hint="eastAsia" w:ascii="宋体" w:hAnsi="宋体" w:cs="宋体"/>
                <w:color w:val="000000" w:themeColor="text1"/>
                <w:sz w:val="21"/>
                <w:szCs w:val="21"/>
                <w:highlight w:val="none"/>
                <w14:textFill>
                  <w14:solidFill>
                    <w14:schemeClr w14:val="tx1"/>
                  </w14:solidFill>
                </w14:textFill>
              </w:rPr>
              <w:t>〗（年化）。</w:t>
            </w:r>
          </w:p>
          <w:p>
            <w:pPr>
              <w:widowControl/>
              <w:spacing w:line="360" w:lineRule="auto"/>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业绩基准测算依据：</w:t>
            </w:r>
            <w:r>
              <w:rPr>
                <w:rFonts w:hint="eastAsia" w:ascii="宋体" w:hAnsi="宋体" w:cs="宋体"/>
                <w:b/>
                <w:bCs/>
                <w:color w:val="000000" w:themeColor="text1"/>
                <w:sz w:val="21"/>
                <w:szCs w:val="21"/>
                <w:highlight w:val="none"/>
                <w:lang w:val="en-US" w:eastAsia="zh-CN"/>
                <w14:textFill>
                  <w14:solidFill>
                    <w14:schemeClr w14:val="tx1"/>
                  </w14:solidFill>
                </w14:textFill>
              </w:rPr>
              <w:t>本理财计划</w:t>
            </w:r>
            <w:r>
              <w:rPr>
                <w:rFonts w:hint="eastAsia" w:ascii="宋体" w:hAnsi="宋体" w:cs="宋体"/>
                <w:b/>
                <w:bCs/>
                <w:color w:val="000000" w:themeColor="text1"/>
                <w:sz w:val="21"/>
                <w:szCs w:val="21"/>
                <w:highlight w:val="none"/>
                <w14:textFill>
                  <w14:solidFill>
                    <w14:schemeClr w14:val="tx1"/>
                  </w14:solidFill>
                </w14:textFill>
              </w:rPr>
              <w:t>重点投资于</w:t>
            </w:r>
            <w:r>
              <w:rPr>
                <w:rFonts w:hint="eastAsia" w:ascii="宋体" w:hAnsi="宋体" w:cs="宋体"/>
                <w:b/>
                <w:bCs/>
                <w:color w:val="000000" w:themeColor="text1"/>
                <w:sz w:val="21"/>
                <w:szCs w:val="21"/>
                <w:highlight w:val="none"/>
                <w:lang w:val="en-US" w:eastAsia="zh-CN"/>
                <w14:textFill>
                  <w14:solidFill>
                    <w14:schemeClr w14:val="tx1"/>
                  </w14:solidFill>
                </w14:textFill>
              </w:rPr>
              <w:t>同业存单、存款、信用债</w:t>
            </w:r>
            <w:r>
              <w:rPr>
                <w:rFonts w:hint="eastAsia" w:ascii="宋体" w:hAnsi="宋体" w:cs="宋体"/>
                <w:b/>
                <w:bCs/>
                <w:color w:val="000000" w:themeColor="text1"/>
                <w:sz w:val="21"/>
                <w:szCs w:val="21"/>
                <w:highlight w:val="none"/>
                <w14:textFill>
                  <w14:solidFill>
                    <w14:schemeClr w14:val="tx1"/>
                  </w14:solidFill>
                </w14:textFill>
              </w:rPr>
              <w:t>等资产，根据</w:t>
            </w:r>
            <w:r>
              <w:rPr>
                <w:rFonts w:hint="eastAsia" w:ascii="宋体" w:hAnsi="宋体" w:cs="宋体"/>
                <w:b/>
                <w:bCs/>
                <w:color w:val="000000" w:themeColor="text1"/>
                <w:sz w:val="21"/>
                <w:szCs w:val="21"/>
                <w:highlight w:val="none"/>
                <w:lang w:val="en-US" w:eastAsia="zh-CN"/>
                <w14:textFill>
                  <w14:solidFill>
                    <w14:schemeClr w14:val="tx1"/>
                  </w14:solidFill>
                </w14:textFill>
              </w:rPr>
              <w:t>当前市场环境，拟投资产收益率在1.5%-3.5%左右，同时根据</w:t>
            </w:r>
            <w:r>
              <w:rPr>
                <w:rFonts w:hint="eastAsia" w:ascii="宋体" w:hAnsi="宋体" w:cs="宋体"/>
                <w:b/>
                <w:bCs/>
                <w:color w:val="000000" w:themeColor="text1"/>
                <w:sz w:val="21"/>
                <w:szCs w:val="21"/>
                <w:highlight w:val="none"/>
                <w14:textFill>
                  <w14:solidFill>
                    <w14:schemeClr w14:val="tx1"/>
                  </w14:solidFill>
                </w14:textFill>
              </w:rPr>
              <w:t>流动性管理需要和监管要求配置不低于5%的高流动性资产。</w:t>
            </w:r>
          </w:p>
          <w:p>
            <w:pPr>
              <w:widowControl/>
              <w:spacing w:line="360" w:lineRule="auto"/>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管理人有权根据市场情况及</w:t>
            </w:r>
            <w:r>
              <w:rPr>
                <w:rFonts w:hint="eastAsia" w:ascii="宋体" w:hAnsi="宋体" w:cs="宋体"/>
                <w:color w:val="000000" w:themeColor="text1"/>
                <w:sz w:val="21"/>
                <w:szCs w:val="21"/>
                <w:highlight w:val="none"/>
                <w:lang w:eastAsia="zh-CN"/>
                <w14:textFill>
                  <w14:solidFill>
                    <w14:schemeClr w14:val="tx1"/>
                  </w14:solidFill>
                </w14:textFill>
              </w:rPr>
              <w:t>理财计划</w:t>
            </w:r>
            <w:r>
              <w:rPr>
                <w:rFonts w:hint="eastAsia" w:ascii="宋体" w:hAnsi="宋体" w:cs="宋体"/>
                <w:color w:val="000000" w:themeColor="text1"/>
                <w:sz w:val="21"/>
                <w:szCs w:val="21"/>
                <w:highlight w:val="none"/>
                <w14:textFill>
                  <w14:solidFill>
                    <w14:schemeClr w14:val="tx1"/>
                  </w14:solidFill>
                </w14:textFill>
              </w:rPr>
              <w:t>运作情况调整业绩基准，并至少于新业绩基准启用前</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个工作日公告。</w:t>
            </w:r>
          </w:p>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本理财计划为净值型理财产品，其业绩表现将随市场波动具有不确定性。本公司提醒投资者关注，业绩比较基准</w:t>
            </w:r>
            <w:r>
              <w:rPr>
                <w:rFonts w:hint="eastAsia" w:ascii="宋体" w:hAnsi="宋体" w:cs="宋体"/>
                <w:b/>
                <w:color w:val="000000" w:themeColor="text1"/>
                <w:sz w:val="21"/>
                <w:szCs w:val="21"/>
                <w:highlight w:val="none"/>
                <w:lang w:eastAsia="zh-CN"/>
                <w14:textFill>
                  <w14:solidFill>
                    <w14:schemeClr w14:val="tx1"/>
                  </w14:solidFill>
                </w14:textFill>
              </w:rPr>
              <w:t>不是预期收益率，</w:t>
            </w:r>
            <w:r>
              <w:rPr>
                <w:rFonts w:hint="eastAsia" w:ascii="宋体" w:hAnsi="宋体" w:cs="宋体"/>
                <w:b/>
                <w:color w:val="000000" w:themeColor="text1"/>
                <w:sz w:val="21"/>
                <w:szCs w:val="21"/>
                <w:highlight w:val="none"/>
                <w14:textFill>
                  <w14:solidFill>
                    <w14:schemeClr w14:val="tx1"/>
                  </w14:solidFill>
                </w14:textFill>
              </w:rPr>
              <w:t>并不代表</w:t>
            </w:r>
            <w:r>
              <w:rPr>
                <w:rFonts w:hint="eastAsia" w:ascii="宋体" w:hAnsi="宋体" w:cs="宋体"/>
                <w:b/>
                <w:color w:val="000000" w:themeColor="text1"/>
                <w:sz w:val="21"/>
                <w:szCs w:val="21"/>
                <w:highlight w:val="none"/>
                <w:lang w:eastAsia="zh-CN"/>
                <w14:textFill>
                  <w14:solidFill>
                    <w14:schemeClr w14:val="tx1"/>
                  </w14:solidFill>
                </w14:textFill>
              </w:rPr>
              <w:t>理财计划的未来表现和</w:t>
            </w:r>
            <w:r>
              <w:rPr>
                <w:rFonts w:hint="eastAsia" w:ascii="宋体" w:hAnsi="宋体" w:cs="宋体"/>
                <w:b/>
                <w:color w:val="000000" w:themeColor="text1"/>
                <w:sz w:val="21"/>
                <w:szCs w:val="21"/>
                <w:highlight w:val="none"/>
                <w14:textFill>
                  <w14:solidFill>
                    <w14:schemeClr w14:val="tx1"/>
                  </w14:solidFill>
                </w14:textFill>
              </w:rPr>
              <w:t>实际收益率</w:t>
            </w:r>
            <w:r>
              <w:rPr>
                <w:rFonts w:hint="eastAsia" w:ascii="宋体" w:hAnsi="宋体" w:cs="宋体"/>
                <w:b/>
                <w:color w:val="000000" w:themeColor="text1"/>
                <w:sz w:val="21"/>
                <w:szCs w:val="21"/>
                <w:highlight w:val="none"/>
                <w:lang w:eastAsia="zh-CN"/>
                <w14:textFill>
                  <w14:solidFill>
                    <w14:schemeClr w14:val="tx1"/>
                  </w14:solidFill>
                </w14:textFill>
              </w:rPr>
              <w:t>，不构成对理财计划收益的承诺</w:t>
            </w:r>
            <w:r>
              <w:rPr>
                <w:rFonts w:hint="eastAsia" w:ascii="宋体" w:hAnsi="宋体" w:cs="宋体"/>
                <w:b/>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产品费用</w:t>
            </w:r>
          </w:p>
        </w:tc>
        <w:tc>
          <w:tcPr>
            <w:tcW w:w="7185" w:type="dxa"/>
            <w:noWrap w:val="0"/>
            <w:vAlign w:val="center"/>
          </w:tcPr>
          <w:p>
            <w:pPr>
              <w:widowControl/>
              <w:spacing w:line="360" w:lineRule="auto"/>
              <w:contextualSpacing/>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销售服务费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A</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0.30</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eastAsia="zh-CN"/>
                <w14:textFill>
                  <w14:solidFill>
                    <w14:schemeClr w14:val="tx1"/>
                  </w14:solidFill>
                </w14:textFill>
              </w:rPr>
              <w:t>销售服务费；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B</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0.30</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eastAsia="zh-CN"/>
                <w14:textFill>
                  <w14:solidFill>
                    <w14:schemeClr w14:val="tx1"/>
                  </w14:solidFill>
                </w14:textFill>
              </w:rPr>
              <w:t>销售服务费；</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E</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0.10</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eastAsia="zh-CN"/>
                <w14:textFill>
                  <w14:solidFill>
                    <w14:schemeClr w14:val="tx1"/>
                  </w14:solidFill>
                </w14:textFill>
              </w:rPr>
              <w:t>销售服务费</w:t>
            </w:r>
            <w:r>
              <w:rPr>
                <w:rFonts w:hint="eastAsia" w:ascii="宋体" w:hAnsi="宋体" w:cs="宋体"/>
                <w:color w:val="000000" w:themeColor="text1"/>
                <w:sz w:val="21"/>
                <w:szCs w:val="21"/>
                <w:highlight w:val="none"/>
                <w14:textFill>
                  <w14:solidFill>
                    <w14:schemeClr w14:val="tx1"/>
                  </w14:solidFill>
                </w14:textFill>
              </w:rPr>
              <w:t>。</w:t>
            </w:r>
          </w:p>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2.托管费：收取年化〖</w:t>
            </w:r>
            <w:r>
              <w:rPr>
                <w:rFonts w:hint="eastAsia" w:ascii="宋体" w:hAnsi="宋体" w:cs="宋体"/>
                <w:color w:val="000000" w:themeColor="text1"/>
                <w:sz w:val="21"/>
                <w:szCs w:val="21"/>
                <w:highlight w:val="none"/>
                <w:lang w:val="en-US" w:eastAsia="zh-CN"/>
                <w14:textFill>
                  <w14:solidFill>
                    <w14:schemeClr w14:val="tx1"/>
                  </w14:solidFill>
                </w14:textFill>
              </w:rPr>
              <w:t>0.025</w:t>
            </w:r>
            <w:r>
              <w:rPr>
                <w:rFonts w:hint="eastAsia" w:ascii="宋体" w:hAnsi="宋体" w:cs="宋体"/>
                <w:color w:val="000000" w:themeColor="text1"/>
                <w:sz w:val="21"/>
                <w:szCs w:val="21"/>
                <w:highlight w:val="none"/>
                <w14:textFill>
                  <w14:solidFill>
                    <w14:schemeClr w14:val="tx1"/>
                  </w14:solidFill>
                </w14:textFill>
              </w:rPr>
              <w:t>%〗的托管费。</w:t>
            </w:r>
          </w:p>
          <w:p>
            <w:pPr>
              <w:widowControl/>
              <w:spacing w:line="360" w:lineRule="auto"/>
              <w:contextualSpacing/>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3.固定管理费：〖</w:t>
            </w:r>
            <w:r>
              <w:rPr>
                <w:rFonts w:hint="eastAsia" w:ascii="宋体" w:hAnsi="宋体" w:cs="宋体"/>
                <w:color w:val="000000" w:themeColor="text1"/>
                <w:sz w:val="21"/>
                <w:szCs w:val="21"/>
                <w:highlight w:val="none"/>
                <w:lang w:val="en-US" w:eastAsia="zh-CN"/>
                <w14:textFill>
                  <w14:solidFill>
                    <w14:schemeClr w14:val="tx1"/>
                  </w14:solidFill>
                </w14:textFill>
              </w:rPr>
              <w:t>A</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0.40</w:t>
            </w:r>
            <w:r>
              <w:rPr>
                <w:rFonts w:hint="eastAsia" w:ascii="宋体" w:hAnsi="宋体" w:cs="宋体"/>
                <w:color w:val="000000" w:themeColor="text1"/>
                <w:sz w:val="21"/>
                <w:szCs w:val="21"/>
                <w:highlight w:val="none"/>
                <w14:textFill>
                  <w14:solidFill>
                    <w14:schemeClr w14:val="tx1"/>
                  </w14:solidFill>
                </w14:textFill>
              </w:rPr>
              <w:t>%〗的固定管理费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B</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0.40</w:t>
            </w:r>
            <w:r>
              <w:rPr>
                <w:rFonts w:hint="eastAsia" w:ascii="宋体" w:hAnsi="宋体" w:cs="宋体"/>
                <w:color w:val="000000" w:themeColor="text1"/>
                <w:sz w:val="21"/>
                <w:szCs w:val="21"/>
                <w:highlight w:val="none"/>
                <w14:textFill>
                  <w14:solidFill>
                    <w14:schemeClr w14:val="tx1"/>
                  </w14:solidFill>
                </w14:textFill>
              </w:rPr>
              <w:t>%〗的固定管理费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E</w:t>
            </w:r>
            <w:r>
              <w:rPr>
                <w:rFonts w:hint="eastAsia" w:ascii="宋体" w:hAnsi="宋体" w:cs="宋体"/>
                <w:bCs/>
                <w:color w:val="000000" w:themeColor="text1"/>
                <w:sz w:val="21"/>
                <w:szCs w:val="21"/>
                <w:highlight w:val="none"/>
                <w:lang w:val="en-US" w:eastAsia="zh-CN"/>
                <w14:textFill>
                  <w14:solidFill>
                    <w14:schemeClr w14:val="tx1"/>
                  </w14:solidFill>
                </w14:textFill>
              </w:rPr>
              <w:t>份额</w:t>
            </w:r>
            <w:r>
              <w:rPr>
                <w:rFonts w:hint="eastAsia" w:ascii="宋体" w:hAnsi="宋体" w:cs="宋体"/>
                <w:color w:val="000000" w:themeColor="text1"/>
                <w:sz w:val="21"/>
                <w:szCs w:val="21"/>
                <w:highlight w:val="none"/>
                <w14:textFill>
                  <w14:solidFill>
                    <w14:schemeClr w14:val="tx1"/>
                  </w14:solidFill>
                </w14:textFill>
              </w:rPr>
              <w:t>〗收取年化〖</w:t>
            </w:r>
            <w:r>
              <w:rPr>
                <w:rFonts w:hint="eastAsia" w:ascii="宋体" w:hAnsi="宋体" w:cs="宋体"/>
                <w:color w:val="000000" w:themeColor="text1"/>
                <w:sz w:val="21"/>
                <w:szCs w:val="21"/>
                <w:highlight w:val="none"/>
                <w:lang w:val="en-US" w:eastAsia="zh-CN"/>
                <w14:textFill>
                  <w14:solidFill>
                    <w14:schemeClr w14:val="tx1"/>
                  </w14:solidFill>
                </w14:textFill>
              </w:rPr>
              <w:t>0.60</w:t>
            </w:r>
            <w:r>
              <w:rPr>
                <w:rFonts w:hint="eastAsia" w:ascii="宋体" w:hAnsi="宋体" w:cs="宋体"/>
                <w:color w:val="000000" w:themeColor="text1"/>
                <w:sz w:val="21"/>
                <w:szCs w:val="21"/>
                <w:highlight w:val="none"/>
                <w14:textFill>
                  <w14:solidFill>
                    <w14:schemeClr w14:val="tx1"/>
                  </w14:solidFill>
                </w14:textFill>
              </w:rPr>
              <w:t>%〗的固定管理费。</w:t>
            </w:r>
          </w:p>
          <w:p>
            <w:pPr>
              <w:widowControl/>
              <w:spacing w:line="360" w:lineRule="auto"/>
              <w:contextualSpacing/>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4.认购费：本理财计划免除认购费。</w:t>
            </w:r>
          </w:p>
          <w:p>
            <w:pPr>
              <w:widowControl/>
              <w:spacing w:line="360" w:lineRule="auto"/>
              <w:contextualSpacing/>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5.申购费：</w:t>
            </w:r>
            <w:r>
              <w:rPr>
                <w:rFonts w:hint="eastAsia" w:ascii="宋体" w:hAnsi="宋体" w:cs="宋体"/>
                <w:color w:val="000000" w:themeColor="text1"/>
                <w:sz w:val="21"/>
                <w:szCs w:val="21"/>
                <w:highlight w:val="none"/>
                <w14:textFill>
                  <w14:solidFill>
                    <w14:schemeClr w14:val="tx1"/>
                  </w14:solidFill>
                </w14:textFill>
              </w:rPr>
              <w:t>本理财计划免除申购费。</w:t>
            </w:r>
          </w:p>
          <w:p>
            <w:pPr>
              <w:widowControl/>
              <w:spacing w:line="360" w:lineRule="auto"/>
              <w:contextualSpacing/>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6.赎回费：</w:t>
            </w:r>
            <w:r>
              <w:rPr>
                <w:rFonts w:hint="eastAsia" w:ascii="宋体" w:hAnsi="宋体" w:cs="宋体"/>
                <w:color w:val="000000" w:themeColor="text1"/>
                <w:sz w:val="21"/>
                <w:szCs w:val="21"/>
                <w:highlight w:val="none"/>
                <w14:textFill>
                  <w14:solidFill>
                    <w14:schemeClr w14:val="tx1"/>
                  </w14:solidFill>
                </w14:textFill>
              </w:rPr>
              <w:t>本理财计划免除赎回费。</w:t>
            </w:r>
          </w:p>
          <w:p>
            <w:pPr>
              <w:widowControl/>
              <w:spacing w:line="360" w:lineRule="auto"/>
              <w:contextualSpacing/>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7.浮动管理费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本理财计划免除</w:t>
            </w:r>
            <w:r>
              <w:rPr>
                <w:rFonts w:hint="eastAsia" w:ascii="宋体" w:hAnsi="宋体" w:cs="宋体"/>
                <w:b/>
                <w:color w:val="000000" w:themeColor="text1"/>
                <w:sz w:val="21"/>
                <w:szCs w:val="21"/>
                <w:highlight w:val="none"/>
                <w14:textFill>
                  <w14:solidFill>
                    <w14:schemeClr w14:val="tx1"/>
                  </w14:solidFill>
                </w14:textFill>
              </w:rPr>
              <w:t>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提前终止</w:t>
            </w:r>
          </w:p>
        </w:tc>
        <w:tc>
          <w:tcPr>
            <w:tcW w:w="7185" w:type="dxa"/>
            <w:noWrap w:val="0"/>
            <w:vAlign w:val="center"/>
          </w:tcPr>
          <w:p>
            <w:pPr>
              <w:widowControl/>
              <w:spacing w:line="360" w:lineRule="auto"/>
              <w:contextualSpacing/>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themeColor="text1"/>
                <w:kern w:val="0"/>
                <w:sz w:val="21"/>
                <w:szCs w:val="21"/>
                <w:highlight w:val="none"/>
                <w:lang w:eastAsia="zh-CN"/>
                <w14:textFill>
                  <w14:solidFill>
                    <w14:schemeClr w14:val="tx1"/>
                  </w14:solidFill>
                </w14:textFill>
              </w:rPr>
              <w:t>全部或部分</w:t>
            </w:r>
            <w:r>
              <w:rPr>
                <w:rFonts w:hint="eastAsia" w:ascii="宋体" w:hAnsi="宋体" w:cs="宋体"/>
                <w:b/>
                <w:color w:val="000000" w:themeColor="text1"/>
                <w:kern w:val="0"/>
                <w:sz w:val="21"/>
                <w:szCs w:val="21"/>
                <w:highlight w:val="none"/>
                <w14:textFill>
                  <w14:solidFill>
                    <w14:schemeClr w14:val="tx1"/>
                  </w14:solidFill>
                </w14:textFill>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税费规定</w:t>
            </w:r>
          </w:p>
        </w:tc>
        <w:tc>
          <w:tcPr>
            <w:tcW w:w="7185" w:type="dxa"/>
            <w:noWrap w:val="0"/>
            <w:vAlign w:val="center"/>
          </w:tcPr>
          <w:p>
            <w:pPr>
              <w:spacing w:line="360" w:lineRule="auto"/>
              <w:outlineLvl w:val="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融资服务</w:t>
            </w:r>
          </w:p>
        </w:tc>
        <w:tc>
          <w:tcPr>
            <w:tcW w:w="7185" w:type="dxa"/>
            <w:noWrap w:val="0"/>
            <w:vAlign w:val="bottom"/>
          </w:tcPr>
          <w:p>
            <w:pPr>
              <w:spacing w:line="360" w:lineRule="auto"/>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投资者在理财期限内不能提前</w:t>
            </w:r>
            <w:r>
              <w:rPr>
                <w:rFonts w:hint="eastAsia" w:ascii="宋体" w:hAnsi="宋体" w:cs="宋体"/>
                <w:b/>
                <w:color w:val="000000" w:themeColor="text1"/>
                <w:kern w:val="0"/>
                <w:sz w:val="21"/>
                <w:szCs w:val="21"/>
                <w:highlight w:val="none"/>
                <w:lang w:eastAsia="zh-CN"/>
                <w14:textFill>
                  <w14:solidFill>
                    <w14:schemeClr w14:val="tx1"/>
                  </w14:solidFill>
                </w14:textFill>
              </w:rPr>
              <w:t>赎回</w:t>
            </w:r>
            <w:r>
              <w:rPr>
                <w:rFonts w:hint="eastAsia" w:ascii="宋体" w:hAnsi="宋体" w:cs="宋体"/>
                <w:b/>
                <w:color w:val="000000" w:themeColor="text1"/>
                <w:kern w:val="0"/>
                <w:sz w:val="21"/>
                <w:szCs w:val="21"/>
                <w:highlight w:val="none"/>
                <w14:textFill>
                  <w14:solidFill>
                    <w14:schemeClr w14:val="tx1"/>
                  </w14:solidFill>
                </w14:textFill>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themeColor="text1"/>
                <w:kern w:val="0"/>
                <w:sz w:val="21"/>
                <w:szCs w:val="21"/>
                <w:highlight w:val="none"/>
                <w14:textFill>
                  <w14:solidFill>
                    <w14:schemeClr w14:val="tx1"/>
                  </w14:solidFill>
                </w14:textFill>
              </w:rPr>
              <w:t>（具体以销售机构规定为准）</w:t>
            </w:r>
          </w:p>
          <w:p>
            <w:pPr>
              <w:spacing w:line="360" w:lineRule="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特别说明：</w:t>
      </w:r>
      <w:r>
        <w:rPr>
          <w:rFonts w:hint="eastAsia" w:ascii="宋体" w:hAnsi="宋体" w:cs="宋体"/>
          <w:b/>
          <w:color w:val="000000" w:themeColor="text1"/>
          <w:sz w:val="24"/>
          <w:highlight w:val="none"/>
          <w14:textFill>
            <w14:solidFill>
              <w14:schemeClr w14:val="tx1"/>
            </w14:solidFill>
          </w14:textFill>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themeColor="text1"/>
          <w:sz w:val="24"/>
          <w:highlight w:val="none"/>
          <w14:textFill>
            <w14:solidFill>
              <w14:schemeClr w14:val="tx1"/>
            </w14:solidFill>
          </w14:textFill>
        </w:rPr>
      </w:pPr>
    </w:p>
    <w:p>
      <w:pPr>
        <w:numPr>
          <w:ilvl w:val="0"/>
          <w:numId w:val="19"/>
        </w:numPr>
        <w:spacing w:line="360" w:lineRule="auto"/>
        <w:ind w:firstLine="482" w:firstLineChars="200"/>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投资管理</w:t>
      </w:r>
    </w:p>
    <w:p>
      <w:pPr>
        <w:numPr>
          <w:ilvl w:val="0"/>
          <w:numId w:val="20"/>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投资范围</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本理财计划主要投资于符合监管要求的各类资产：</w:t>
      </w:r>
    </w:p>
    <w:p>
      <w:pPr>
        <w:numPr>
          <w:ilvl w:val="0"/>
          <w:numId w:val="2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权益类资产：包括国内发行上市优先股</w:t>
      </w:r>
      <w:r>
        <w:rPr>
          <w:rFonts w:hint="eastAsia" w:ascii="宋体" w:hAnsi="宋体" w:cs="宋体"/>
          <w:bCs/>
          <w:color w:val="000000" w:themeColor="text1"/>
          <w:sz w:val="24"/>
          <w:highlight w:val="none"/>
          <w:lang w:eastAsia="zh-CN"/>
          <w14:textFill>
            <w14:solidFill>
              <w14:schemeClr w14:val="tx1"/>
            </w14:solidFill>
          </w14:textFill>
        </w:rPr>
        <w:t>及相关资产的</w:t>
      </w:r>
      <w:r>
        <w:rPr>
          <w:rFonts w:hint="eastAsia" w:ascii="宋体" w:hAnsi="宋体" w:cs="宋体"/>
          <w:bCs/>
          <w:color w:val="000000" w:themeColor="text1"/>
          <w:sz w:val="24"/>
          <w:highlight w:val="none"/>
          <w14:textFill>
            <w14:solidFill>
              <w14:schemeClr w14:val="tx1"/>
            </w14:solidFill>
          </w14:textFill>
        </w:rPr>
        <w:t>资产管理产品。</w:t>
      </w:r>
    </w:p>
    <w:p>
      <w:pPr>
        <w:numPr>
          <w:ilvl w:val="0"/>
          <w:numId w:val="20"/>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投资比例</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本理财计划各投资资产占</w:t>
      </w:r>
      <w:r>
        <w:rPr>
          <w:rFonts w:hint="eastAsia" w:ascii="宋体" w:hAnsi="宋体" w:cs="宋体"/>
          <w:bCs/>
          <w:color w:val="000000" w:themeColor="text1"/>
          <w:sz w:val="24"/>
          <w:highlight w:val="none"/>
          <w:lang w:eastAsia="zh-CN"/>
          <w14:textFill>
            <w14:solidFill>
              <w14:schemeClr w14:val="tx1"/>
            </w14:solidFill>
          </w14:textFill>
        </w:rPr>
        <w:t>总</w:t>
      </w:r>
      <w:r>
        <w:rPr>
          <w:rFonts w:hint="eastAsia" w:ascii="宋体" w:hAnsi="宋体" w:cs="宋体"/>
          <w:bCs/>
          <w:color w:val="000000" w:themeColor="text1"/>
          <w:sz w:val="24"/>
          <w:highlight w:val="none"/>
          <w14:textFill>
            <w14:solidFill>
              <w14:schemeClr w14:val="tx1"/>
            </w14:solidFill>
          </w14:textFill>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rPr>
                <w:rFonts w:ascii="宋体" w:hAnsi="宋体" w:cs="宋体"/>
                <w:bCs/>
                <w:color w:val="000000" w:themeColor="text1"/>
                <w:sz w:val="21"/>
                <w:szCs w:val="21"/>
                <w:highlight w:val="none"/>
                <w14:textFill>
                  <w14:solidFill>
                    <w14:schemeClr w14:val="tx1"/>
                  </w14:solidFill>
                </w14:textFill>
              </w:rPr>
            </w:pPr>
          </w:p>
        </w:tc>
        <w:tc>
          <w:tcPr>
            <w:tcW w:w="4740" w:type="dxa"/>
            <w:noWrap w:val="0"/>
            <w:vAlign w:val="top"/>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投资资产</w:t>
            </w:r>
          </w:p>
        </w:tc>
        <w:tc>
          <w:tcPr>
            <w:tcW w:w="1996" w:type="dxa"/>
            <w:noWrap w:val="0"/>
            <w:vAlign w:val="top"/>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大类资产类型</w:t>
            </w:r>
          </w:p>
        </w:tc>
        <w:tc>
          <w:tcPr>
            <w:tcW w:w="4740" w:type="dxa"/>
            <w:noWrap w:val="0"/>
            <w:vAlign w:val="top"/>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固定收益类资产</w:t>
            </w:r>
          </w:p>
        </w:tc>
        <w:tc>
          <w:tcPr>
            <w:tcW w:w="1996"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color w:val="000000" w:themeColor="text1"/>
                <w:sz w:val="21"/>
                <w:szCs w:val="21"/>
                <w:highlight w:val="none"/>
                <w14:textFill>
                  <w14:solidFill>
                    <w14:schemeClr w14:val="tx1"/>
                  </w14:solidFill>
                </w14:textFill>
              </w:rPr>
            </w:pPr>
          </w:p>
        </w:tc>
        <w:tc>
          <w:tcPr>
            <w:tcW w:w="4740" w:type="dxa"/>
            <w:noWrap w:val="0"/>
            <w:vAlign w:val="top"/>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权益类资产</w:t>
            </w:r>
          </w:p>
        </w:tc>
        <w:tc>
          <w:tcPr>
            <w:tcW w:w="1996"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center"/>
              <w:rPr>
                <w:rFonts w:ascii="宋体" w:hAnsi="宋体" w:cs="宋体"/>
                <w:b/>
                <w:bCs w:val="0"/>
                <w:color w:val="000000" w:themeColor="text1"/>
                <w:sz w:val="21"/>
                <w:szCs w:val="21"/>
                <w:highlight w:val="none"/>
                <w14:textFill>
                  <w14:solidFill>
                    <w14:schemeClr w14:val="tx1"/>
                  </w14:solidFill>
                </w14:textFill>
              </w:rPr>
            </w:pPr>
          </w:p>
        </w:tc>
        <w:tc>
          <w:tcPr>
            <w:tcW w:w="4740" w:type="dxa"/>
            <w:noWrap w:val="0"/>
            <w:vAlign w:val="top"/>
          </w:tcPr>
          <w:p>
            <w:pPr>
              <w:spacing w:line="360" w:lineRule="auto"/>
              <w:jc w:val="center"/>
              <w:rPr>
                <w:rFonts w:ascii="宋体" w:hAnsi="宋体" w:cs="宋体"/>
                <w:b/>
                <w:bCs w:val="0"/>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其他符合监管要求</w:t>
            </w:r>
            <w:r>
              <w:rPr>
                <w:rFonts w:hint="eastAsia" w:ascii="宋体" w:hAnsi="宋体" w:cs="宋体"/>
                <w:bCs/>
                <w:color w:val="000000" w:themeColor="text1"/>
                <w:sz w:val="21"/>
                <w:szCs w:val="21"/>
                <w:highlight w:val="none"/>
                <w14:textFill>
                  <w14:solidFill>
                    <w14:schemeClr w14:val="tx1"/>
                  </w14:solidFill>
                </w14:textFill>
              </w:rPr>
              <w:t>资产</w:t>
            </w:r>
          </w:p>
        </w:tc>
        <w:tc>
          <w:tcPr>
            <w:tcW w:w="1996" w:type="dxa"/>
            <w:noWrap w:val="0"/>
            <w:vAlign w:val="center"/>
          </w:tcPr>
          <w:p>
            <w:pPr>
              <w:spacing w:line="360" w:lineRule="auto"/>
              <w:jc w:val="center"/>
              <w:rPr>
                <w:rFonts w:hint="eastAsia" w:ascii="宋体" w:hAnsi="宋体" w:cs="宋体"/>
                <w:b/>
                <w:bCs w:val="0"/>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0-20%</w:t>
            </w:r>
          </w:p>
        </w:tc>
      </w:tr>
    </w:tbl>
    <w:p>
      <w:pPr>
        <w:pStyle w:val="17"/>
        <w:adjustRightInd/>
        <w:spacing w:line="360" w:lineRule="auto"/>
        <w:ind w:firstLine="456" w:firstLineChars="19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lang w:val="en-US" w:eastAsia="zh-CN"/>
          <w14:textFill>
            <w14:solidFill>
              <w14:schemeClr w14:val="tx1"/>
            </w14:solidFill>
          </w14:textFill>
        </w:rPr>
        <w:t>本理财计划特殊资产类型为基于大类资产类型项下的进一步细化分类，其配置比例不得超过大类资产配置比例。</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本理财计划自成立日起</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个月为建仓期，管理人应当在建仓期结束前使各项投资比例符合约定。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投资策略</w:t>
      </w:r>
    </w:p>
    <w:p>
      <w:pPr>
        <w:pStyle w:val="17"/>
        <w:numPr>
          <w:ilvl w:val="0"/>
          <w:numId w:val="22"/>
        </w:numPr>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lang w:val="en-US" w:eastAsia="zh-CN"/>
          <w14:textFill>
            <w14:solidFill>
              <w14:schemeClr w14:val="tx1"/>
            </w14:solidFill>
          </w14:textFill>
        </w:rPr>
        <w:t>大类</w:t>
      </w:r>
      <w:r>
        <w:rPr>
          <w:rFonts w:hint="eastAsia" w:ascii="宋体" w:hAnsi="宋体" w:cs="宋体"/>
          <w:bCs/>
          <w:color w:val="000000" w:themeColor="text1"/>
          <w:kern w:val="2"/>
          <w:highlight w:val="none"/>
          <w14:textFill>
            <w14:solidFill>
              <w14:schemeClr w14:val="tx1"/>
            </w14:solidFill>
          </w14:textFill>
        </w:rPr>
        <w:t>资产配置策略</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管理人通过对宏观经济运行状况、国家政策、货币政策、产业政策、市场资金环境及证券市场环境的分析来判断经济周期的阶段和位置，通过定量和定性相结合的方式进行</w:t>
      </w:r>
      <w:r>
        <w:rPr>
          <w:rFonts w:hint="eastAsia" w:ascii="宋体" w:hAnsi="宋体" w:cs="宋体"/>
          <w:bCs/>
          <w:color w:val="000000" w:themeColor="text1"/>
          <w:kern w:val="2"/>
          <w:highlight w:val="none"/>
          <w:lang w:val="en-US" w:eastAsia="zh-CN"/>
          <w14:textFill>
            <w14:solidFill>
              <w14:schemeClr w14:val="tx1"/>
            </w14:solidFill>
          </w14:textFill>
        </w:rPr>
        <w:t>大类</w:t>
      </w:r>
      <w:r>
        <w:rPr>
          <w:rFonts w:hint="eastAsia" w:ascii="宋体" w:hAnsi="宋体" w:cs="宋体"/>
          <w:bCs/>
          <w:color w:val="000000" w:themeColor="text1"/>
          <w:kern w:val="2"/>
          <w:highlight w:val="none"/>
          <w14:textFill>
            <w14:solidFill>
              <w14:schemeClr w14:val="tx1"/>
            </w14:solidFill>
          </w14:textFill>
        </w:rPr>
        <w:t>资产管理</w:t>
      </w:r>
      <w:r>
        <w:rPr>
          <w:rFonts w:hint="eastAsia" w:ascii="宋体" w:hAnsi="宋体" w:cs="宋体"/>
          <w:bCs/>
          <w:color w:val="000000" w:themeColor="text1"/>
          <w:kern w:val="2"/>
          <w:highlight w:val="none"/>
          <w:lang w:eastAsia="zh-CN"/>
          <w14:textFill>
            <w14:solidFill>
              <w14:schemeClr w14:val="tx1"/>
            </w14:solidFill>
          </w14:textFill>
        </w:rPr>
        <w:t>。</w:t>
      </w:r>
      <w:r>
        <w:rPr>
          <w:rFonts w:hint="eastAsia" w:ascii="宋体" w:hAnsi="宋体" w:cs="宋体"/>
          <w:bCs/>
          <w:color w:val="000000" w:themeColor="text1"/>
          <w:kern w:val="2"/>
          <w:highlight w:val="none"/>
          <w14:textFill>
            <w14:solidFill>
              <w14:schemeClr w14:val="tx1"/>
            </w14:solidFill>
          </w14:textFill>
        </w:rPr>
        <w:t>主动判断市场时机进行资产配置，确定在</w:t>
      </w:r>
      <w:r>
        <w:rPr>
          <w:rFonts w:hint="eastAsia"/>
          <w:color w:val="000000" w:themeColor="text1"/>
          <w:highlight w:val="none"/>
          <w:lang w:val="en-US" w:eastAsia="zh-CN"/>
          <w14:textFill>
            <w14:solidFill>
              <w14:schemeClr w14:val="tx1"/>
            </w14:solidFill>
          </w14:textFill>
        </w:rPr>
        <w:t>存款、存单、</w:t>
      </w:r>
      <w:r>
        <w:rPr>
          <w:rFonts w:hint="eastAsia" w:ascii="宋体" w:hAnsi="宋体" w:cs="宋体"/>
          <w:bCs/>
          <w:color w:val="000000" w:themeColor="text1"/>
          <w:kern w:val="2"/>
          <w:highlight w:val="none"/>
          <w14:textFill>
            <w14:solidFill>
              <w14:schemeClr w14:val="tx1"/>
            </w14:solidFill>
          </w14:textFill>
        </w:rPr>
        <w:t>债券</w:t>
      </w:r>
      <w:r>
        <w:rPr>
          <w:rFonts w:hint="eastAsia" w:ascii="宋体" w:hAnsi="宋体" w:cs="宋体"/>
          <w:bCs/>
          <w:color w:val="000000" w:themeColor="text1"/>
          <w:kern w:val="2"/>
          <w:highlight w:val="none"/>
          <w:lang w:eastAsia="zh-CN"/>
          <w14:textFill>
            <w14:solidFill>
              <w14:schemeClr w14:val="tx1"/>
            </w14:solidFill>
          </w14:textFill>
        </w:rPr>
        <w:t>、</w:t>
      </w:r>
      <w:r>
        <w:rPr>
          <w:rFonts w:hint="eastAsia" w:ascii="宋体" w:hAnsi="宋体" w:cs="宋体"/>
          <w:bCs/>
          <w:color w:val="000000" w:themeColor="text1"/>
          <w:kern w:val="2"/>
          <w:highlight w:val="none"/>
          <w:lang w:val="en-US" w:eastAsia="zh-CN"/>
          <w14:textFill>
            <w14:solidFill>
              <w14:schemeClr w14:val="tx1"/>
            </w14:solidFill>
          </w14:textFill>
        </w:rPr>
        <w:t>优先股</w:t>
      </w:r>
      <w:r>
        <w:rPr>
          <w:rFonts w:hint="eastAsia" w:ascii="宋体" w:hAnsi="宋体" w:cs="宋体"/>
          <w:bCs/>
          <w:color w:val="000000" w:themeColor="text1"/>
          <w:kern w:val="2"/>
          <w:highlight w:val="none"/>
          <w14:textFill>
            <w14:solidFill>
              <w14:schemeClr w14:val="tx1"/>
            </w14:solidFill>
          </w14:textFill>
        </w:rPr>
        <w:t>等各类资产上的投资比例。</w:t>
      </w:r>
    </w:p>
    <w:p>
      <w:pPr>
        <w:numPr>
          <w:ilvl w:val="0"/>
          <w:numId w:val="23"/>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债券投资策略</w:t>
      </w:r>
    </w:p>
    <w:p>
      <w:pPr>
        <w:pStyle w:val="17"/>
        <w:adjustRightInd/>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管理人本着稳健投资的理念，基于宏观经济形势、货币政策、固定收益资产价格走势，采用安全性和流动性优先、优选投资品种，</w:t>
      </w:r>
      <w:r>
        <w:rPr>
          <w:rFonts w:hint="eastAsia" w:ascii="宋体" w:hAnsi="宋体" w:cs="宋体"/>
          <w:bCs/>
          <w:color w:val="000000" w:themeColor="text1"/>
          <w:kern w:val="2"/>
          <w:highlight w:val="none"/>
          <w:lang w:val="en-US" w:eastAsia="zh-CN"/>
          <w14:textFill>
            <w14:solidFill>
              <w14:schemeClr w14:val="tx1"/>
            </w14:solidFill>
          </w14:textFill>
        </w:rPr>
        <w:t>综合运用信用策略、久期策略、杠杆策略、曲线策略、交易策略等</w:t>
      </w:r>
      <w:r>
        <w:rPr>
          <w:rFonts w:hint="eastAsia" w:ascii="宋体" w:hAnsi="宋体" w:cs="宋体"/>
          <w:bCs/>
          <w:color w:val="000000" w:themeColor="text1"/>
          <w:kern w:val="2"/>
          <w:highlight w:val="none"/>
          <w14:textFill>
            <w14:solidFill>
              <w14:schemeClr w14:val="tx1"/>
            </w14:solidFill>
          </w14:textFill>
        </w:rPr>
        <w:t>。</w:t>
      </w:r>
    </w:p>
    <w:p>
      <w:pPr>
        <w:numPr>
          <w:ilvl w:val="0"/>
          <w:numId w:val="23"/>
        </w:num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权益</w:t>
      </w:r>
      <w:r>
        <w:rPr>
          <w:rFonts w:hint="eastAsia" w:ascii="宋体" w:hAnsi="宋体" w:cs="宋体"/>
          <w:bCs/>
          <w:color w:val="000000" w:themeColor="text1"/>
          <w:sz w:val="24"/>
          <w:highlight w:val="none"/>
          <w:lang w:val="en-US" w:eastAsia="zh-CN"/>
          <w14:textFill>
            <w14:solidFill>
              <w14:schemeClr w14:val="tx1"/>
            </w14:solidFill>
          </w14:textFill>
        </w:rPr>
        <w:t>类</w:t>
      </w:r>
      <w:r>
        <w:rPr>
          <w:rFonts w:hint="eastAsia" w:ascii="宋体" w:hAnsi="宋体" w:cs="宋体"/>
          <w:bCs/>
          <w:color w:val="000000" w:themeColor="text1"/>
          <w:sz w:val="24"/>
          <w:highlight w:val="none"/>
          <w14:textFill>
            <w14:solidFill>
              <w14:schemeClr w14:val="tx1"/>
            </w14:solidFill>
          </w14:textFill>
        </w:rPr>
        <w:t>资产策略</w:t>
      </w:r>
    </w:p>
    <w:p>
      <w:pPr>
        <w:pStyle w:val="17"/>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sz w:val="24"/>
          <w:highlight w:val="none"/>
          <w14:textFill>
            <w14:solidFill>
              <w14:schemeClr w14:val="tx1"/>
            </w14:solidFill>
          </w14:textFill>
        </w:rPr>
        <w:t>管理人</w:t>
      </w:r>
      <w:r>
        <w:rPr>
          <w:rFonts w:hint="eastAsia" w:ascii="宋体" w:hAnsi="宋体" w:cs="宋体"/>
          <w:bCs/>
          <w:color w:val="000000" w:themeColor="text1"/>
          <w:kern w:val="2"/>
          <w:sz w:val="24"/>
          <w:highlight w:val="none"/>
          <w:u w:val="none"/>
          <w:lang w:val="en-US" w:eastAsia="zh-CN"/>
          <w14:textFill>
            <w14:solidFill>
              <w14:schemeClr w14:val="tx1"/>
            </w14:solidFill>
          </w14:textFill>
        </w:rPr>
        <w:t>结合产品流动性和市场情况，择机在组合中配置优先股权益类资产</w:t>
      </w:r>
      <w:r>
        <w:rPr>
          <w:rFonts w:hint="eastAsia" w:ascii="宋体" w:hAnsi="宋体" w:cs="宋体"/>
          <w:bCs/>
          <w:color w:val="000000" w:themeColor="text1"/>
          <w:kern w:val="2"/>
          <w:sz w:val="24"/>
          <w:highlight w:val="none"/>
          <w14:textFill>
            <w14:solidFill>
              <w14:schemeClr w14:val="tx1"/>
            </w14:solidFill>
          </w14:textFill>
        </w:rPr>
        <w:t>。</w:t>
      </w:r>
    </w:p>
    <w:p>
      <w:pPr>
        <w:numPr>
          <w:ilvl w:val="0"/>
          <w:numId w:val="20"/>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投资限制</w:t>
      </w:r>
    </w:p>
    <w:p>
      <w:pPr>
        <w:numPr>
          <w:ilvl w:val="0"/>
          <w:numId w:val="0"/>
        </w:numPr>
        <w:spacing w:line="360" w:lineRule="auto"/>
        <w:ind w:firstLine="480" w:firstLineChars="200"/>
        <w:jc w:val="left"/>
        <w:outlineLvl w:val="2"/>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投资限制中列示的资产品种不代表管理人的实际投向，本理财计划投资范围以“投资范围”章节表述为准。</w:t>
      </w:r>
    </w:p>
    <w:p>
      <w:pPr>
        <w:numPr>
          <w:ilvl w:val="0"/>
          <w:numId w:val="24"/>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投资集中度限制</w:t>
      </w:r>
    </w:p>
    <w:p>
      <w:pPr>
        <w:numPr>
          <w:ilvl w:val="0"/>
          <w:numId w:val="25"/>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本理财计划持有单只证券或单只公募</w:t>
      </w:r>
      <w:r>
        <w:rPr>
          <w:rFonts w:ascii="宋体" w:hAnsi="宋体" w:cs="宋体"/>
          <w:bCs/>
          <w:color w:val="000000" w:themeColor="text1"/>
          <w:sz w:val="24"/>
          <w:highlight w:val="none"/>
          <w14:textFill>
            <w14:solidFill>
              <w14:schemeClr w14:val="tx1"/>
            </w14:solidFill>
          </w14:textFill>
        </w:rPr>
        <w:fldChar w:fldCharType="begin"/>
      </w:r>
      <w:r>
        <w:rPr>
          <w:rFonts w:ascii="宋体" w:hAnsi="宋体" w:cs="宋体"/>
          <w:bCs/>
          <w:color w:val="000000" w:themeColor="text1"/>
          <w:sz w:val="24"/>
          <w:highlight w:val="none"/>
          <w14:textFill>
            <w14:solidFill>
              <w14:schemeClr w14:val="tx1"/>
            </w14:solidFill>
          </w14:textFill>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color w:val="000000" w:themeColor="text1"/>
          <w:sz w:val="24"/>
          <w:highlight w:val="none"/>
          <w14:textFill>
            <w14:solidFill>
              <w14:schemeClr w14:val="tx1"/>
            </w14:solidFill>
          </w14:textFill>
        </w:rPr>
        <w:fldChar w:fldCharType="separate"/>
      </w:r>
      <w:r>
        <w:rPr>
          <w:rFonts w:ascii="宋体" w:hAnsi="宋体" w:cs="宋体"/>
          <w:bCs/>
          <w:color w:val="000000" w:themeColor="text1"/>
          <w:sz w:val="24"/>
          <w:highlight w:val="none"/>
          <w14:textFill>
            <w14:solidFill>
              <w14:schemeClr w14:val="tx1"/>
            </w14:solidFill>
          </w14:textFill>
        </w:rPr>
        <w:t>证券投资基金</w:t>
      </w:r>
      <w:r>
        <w:rPr>
          <w:rFonts w:ascii="宋体" w:hAnsi="宋体" w:cs="宋体"/>
          <w:bCs/>
          <w:color w:val="000000" w:themeColor="text1"/>
          <w:sz w:val="24"/>
          <w:highlight w:val="none"/>
          <w14:textFill>
            <w14:solidFill>
              <w14:schemeClr w14:val="tx1"/>
            </w14:solidFill>
          </w14:textFill>
        </w:rPr>
        <w:fldChar w:fldCharType="end"/>
      </w:r>
      <w:r>
        <w:rPr>
          <w:rFonts w:ascii="宋体" w:hAnsi="宋体" w:cs="宋体"/>
          <w:bCs/>
          <w:color w:val="000000" w:themeColor="text1"/>
          <w:sz w:val="24"/>
          <w:highlight w:val="none"/>
          <w14:textFill>
            <w14:solidFill>
              <w14:schemeClr w14:val="tx1"/>
            </w14:solidFill>
          </w14:textFill>
        </w:rPr>
        <w:t>的市值不得超过该理财</w:t>
      </w:r>
      <w:r>
        <w:rPr>
          <w:rFonts w:hint="eastAsia" w:ascii="宋体" w:hAnsi="宋体" w:cs="宋体"/>
          <w:bCs/>
          <w:color w:val="000000" w:themeColor="text1"/>
          <w:sz w:val="24"/>
          <w:highlight w:val="none"/>
          <w14:textFill>
            <w14:solidFill>
              <w14:schemeClr w14:val="tx1"/>
            </w14:solidFill>
          </w14:textFill>
        </w:rPr>
        <w:t>计划</w:t>
      </w:r>
      <w:r>
        <w:rPr>
          <w:rFonts w:ascii="宋体" w:hAnsi="宋体" w:cs="宋体"/>
          <w:bCs/>
          <w:color w:val="000000" w:themeColor="text1"/>
          <w:sz w:val="24"/>
          <w:highlight w:val="none"/>
          <w14:textFill>
            <w14:solidFill>
              <w14:schemeClr w14:val="tx1"/>
            </w14:solidFill>
          </w14:textFill>
        </w:rPr>
        <w:t>净资产</w:t>
      </w:r>
      <w:r>
        <w:rPr>
          <w:rFonts w:hint="eastAsia" w:ascii="宋体" w:hAnsi="宋体" w:cs="宋体"/>
          <w:bCs/>
          <w:color w:val="000000" w:themeColor="text1"/>
          <w:sz w:val="24"/>
          <w:highlight w:val="none"/>
          <w14:textFill>
            <w14:solidFill>
              <w14:schemeClr w14:val="tx1"/>
            </w14:solidFill>
          </w14:textFill>
        </w:rPr>
        <w:t>的</w:t>
      </w:r>
      <w:r>
        <w:rPr>
          <w:rFonts w:ascii="宋体" w:hAnsi="宋体" w:cs="宋体"/>
          <w:bCs/>
          <w:color w:val="000000" w:themeColor="text1"/>
          <w:sz w:val="24"/>
          <w:highlight w:val="none"/>
          <w14:textFill>
            <w14:solidFill>
              <w14:schemeClr w14:val="tx1"/>
            </w14:solidFill>
          </w14:textFill>
        </w:rPr>
        <w:t>10%</w:t>
      </w:r>
      <w:r>
        <w:rPr>
          <w:rFonts w:hint="eastAsia" w:ascii="宋体" w:hAnsi="宋体" w:cs="宋体"/>
          <w:bCs/>
          <w:color w:val="000000" w:themeColor="text1"/>
          <w:sz w:val="24"/>
          <w:highlight w:val="none"/>
          <w14:textFill>
            <w14:solidFill>
              <w14:schemeClr w14:val="tx1"/>
            </w14:solidFill>
          </w14:textFill>
        </w:rPr>
        <w:t>。</w:t>
      </w:r>
    </w:p>
    <w:p>
      <w:pPr>
        <w:numPr>
          <w:ilvl w:val="0"/>
          <w:numId w:val="2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管理人发行的全部理财计划持有单一上市公司发行的股票，不得超过该上市公司可流通股票的30%。</w:t>
      </w:r>
    </w:p>
    <w:p>
      <w:pPr>
        <w:numPr>
          <w:ilvl w:val="0"/>
          <w:numId w:val="2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管理人</w:t>
      </w:r>
      <w:r>
        <w:rPr>
          <w:rFonts w:hint="eastAsia" w:ascii="宋体" w:hAnsi="宋体" w:cs="宋体"/>
          <w:bCs/>
          <w:color w:val="000000" w:themeColor="text1"/>
          <w:sz w:val="24"/>
          <w:highlight w:val="none"/>
          <w14:textFill>
            <w14:solidFill>
              <w14:schemeClr w14:val="tx1"/>
            </w14:solidFill>
          </w14:textFill>
        </w:rPr>
        <w:t>发行的全部</w:t>
      </w:r>
      <w:r>
        <w:rPr>
          <w:rFonts w:hint="eastAsia" w:ascii="宋体" w:hAnsi="宋体"/>
          <w:color w:val="000000" w:themeColor="text1"/>
          <w:sz w:val="24"/>
          <w:highlight w:val="none"/>
          <w14:textFill>
            <w14:solidFill>
              <w14:schemeClr w14:val="tx1"/>
            </w14:solidFill>
          </w14:textFill>
        </w:rPr>
        <w:t>开放式公募</w:t>
      </w:r>
      <w:r>
        <w:rPr>
          <w:rFonts w:hint="eastAsia" w:ascii="宋体" w:hAnsi="宋体" w:cs="宋体"/>
          <w:bCs/>
          <w:color w:val="000000" w:themeColor="text1"/>
          <w:sz w:val="24"/>
          <w:highlight w:val="none"/>
          <w14:textFill>
            <w14:solidFill>
              <w14:schemeClr w14:val="tx1"/>
            </w14:solidFill>
          </w14:textFill>
        </w:rPr>
        <w:t>理财计划</w:t>
      </w:r>
      <w:r>
        <w:rPr>
          <w:rFonts w:hint="eastAsia" w:ascii="宋体" w:hAnsi="宋体"/>
          <w:color w:val="000000" w:themeColor="text1"/>
          <w:sz w:val="24"/>
          <w:highlight w:val="none"/>
          <w14:textFill>
            <w14:solidFill>
              <w14:schemeClr w14:val="tx1"/>
            </w14:solidFill>
          </w14:textFill>
        </w:rPr>
        <w:t>投资单一上市公司发行的股票,不得超过该上市公司可流通股票的15%。</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国务院银行业监督管理机构另有规定的除外。</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投资期限限制</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本理财计划投资的非标准化债权类资产到期日不得晚于理财计划最近一次开放日。</w:t>
      </w:r>
    </w:p>
    <w:p>
      <w:pPr>
        <w:numPr>
          <w:ilvl w:val="0"/>
          <w:numId w:val="24"/>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投资杠杆率限制</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本理财计划的总资产不得超过净资产的140%。</w:t>
      </w:r>
    </w:p>
    <w:p>
      <w:pPr>
        <w:numPr>
          <w:ilvl w:val="0"/>
          <w:numId w:val="26"/>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流动性限制</w:t>
      </w:r>
    </w:p>
    <w:p>
      <w:pPr>
        <w:numPr>
          <w:ilvl w:val="0"/>
          <w:numId w:val="2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本理财计划还应满足以下限制</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a、c</w:t>
      </w:r>
      <w:r>
        <w:rPr>
          <w:rFonts w:hint="eastAsia" w:ascii="宋体" w:hAnsi="宋体" w:cs="宋体"/>
          <w:bCs/>
          <w:color w:val="000000" w:themeColor="text1"/>
          <w:sz w:val="24"/>
          <w:highlight w:val="none"/>
          <w14:textFill>
            <w14:solidFill>
              <w14:schemeClr w14:val="tx1"/>
            </w14:solidFill>
          </w14:textFill>
        </w:rPr>
        <w:t>】</w:t>
      </w:r>
    </w:p>
    <w:p>
      <w:pPr>
        <w:numPr>
          <w:ilvl w:val="0"/>
          <w:numId w:val="28"/>
        </w:numPr>
        <w:spacing w:line="360" w:lineRule="auto"/>
        <w:ind w:firstLine="720" w:firstLineChars="300"/>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本理财计划</w:t>
      </w:r>
      <w:r>
        <w:rPr>
          <w:rFonts w:hint="eastAsia" w:ascii="宋体" w:hAnsi="宋体" w:cs="宋体"/>
          <w:bCs/>
          <w:color w:val="000000" w:themeColor="text1"/>
          <w:sz w:val="24"/>
          <w:highlight w:val="none"/>
          <w14:textFill>
            <w14:solidFill>
              <w14:schemeClr w14:val="tx1"/>
            </w14:solidFill>
          </w14:textFill>
        </w:rPr>
        <w:t>应当持有不低于该理财</w:t>
      </w:r>
      <w:r>
        <w:rPr>
          <w:rFonts w:hint="eastAsia" w:ascii="宋体" w:hAnsi="宋体" w:cs="宋体"/>
          <w:bCs/>
          <w:color w:val="000000" w:themeColor="text1"/>
          <w:sz w:val="24"/>
          <w:highlight w:val="none"/>
          <w:lang w:eastAsia="zh-CN"/>
          <w14:textFill>
            <w14:solidFill>
              <w14:schemeClr w14:val="tx1"/>
            </w14:solidFill>
          </w14:textFill>
        </w:rPr>
        <w:t>计划</w:t>
      </w:r>
      <w:r>
        <w:rPr>
          <w:rFonts w:hint="eastAsia" w:ascii="宋体" w:hAnsi="宋体" w:cs="宋体"/>
          <w:bCs/>
          <w:color w:val="000000" w:themeColor="text1"/>
          <w:sz w:val="24"/>
          <w:highlight w:val="none"/>
          <w14:textFill>
            <w14:solidFill>
              <w14:schemeClr w14:val="tx1"/>
            </w14:solidFill>
          </w14:textFill>
        </w:rPr>
        <w:t>资产净值5%的现金或者到期日在一年以内的国债、中央银行票据和政策性金融债券。</w:t>
      </w:r>
    </w:p>
    <w:p>
      <w:pPr>
        <w:numPr>
          <w:ilvl w:val="0"/>
          <w:numId w:val="28"/>
        </w:numPr>
        <w:spacing w:line="360" w:lineRule="auto"/>
        <w:ind w:firstLine="720" w:firstLineChars="300"/>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本理财计划应当在开放日及开放日前7个工作日内持有不低于该理财计划资产净值5%的现金或者到期日在一年以内的国债、中央银行票据和政策性金融债券。</w:t>
      </w:r>
    </w:p>
    <w:p>
      <w:pPr>
        <w:numPr>
          <w:ilvl w:val="0"/>
          <w:numId w:val="28"/>
        </w:numPr>
        <w:spacing w:line="360" w:lineRule="auto"/>
        <w:ind w:firstLine="720" w:firstLineChars="300"/>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本理财计划不存在活跃交易市场，并且需要采用估值技术确定公允价值的资产比例不得超过理财产品净资产50%以上。</w:t>
      </w:r>
    </w:p>
    <w:p>
      <w:pPr>
        <w:numPr>
          <w:ilvl w:val="0"/>
          <w:numId w:val="27"/>
        </w:numPr>
        <w:spacing w:line="360" w:lineRule="auto"/>
        <w:ind w:firstLine="480" w:firstLineChars="200"/>
        <w:jc w:val="left"/>
        <w:rPr>
          <w:rFonts w:hint="default"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在开放日前一工作日内，本理财计划7个工作日可变现资产的可变现价值应当不低于该理财计划资产净值的10%。</w:t>
      </w:r>
    </w:p>
    <w:p>
      <w:pPr>
        <w:numPr>
          <w:ilvl w:val="0"/>
          <w:numId w:val="29"/>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其他投资限制</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color w:val="000000" w:themeColor="text1"/>
          <w:sz w:val="24"/>
          <w:highlight w:val="none"/>
          <w14:textFill>
            <w14:solidFill>
              <w14:schemeClr w14:val="tx1"/>
            </w14:solidFill>
          </w14:textFill>
        </w:rPr>
        <w:fldChar w:fldCharType="begin"/>
      </w:r>
      <w:r>
        <w:rPr>
          <w:rFonts w:ascii="宋体" w:hAnsi="宋体" w:cs="宋体"/>
          <w:bCs/>
          <w:color w:val="000000" w:themeColor="text1"/>
          <w:sz w:val="24"/>
          <w:highlight w:val="none"/>
          <w14:textFill>
            <w14:solidFill>
              <w14:schemeClr w14:val="tx1"/>
            </w14:solidFill>
          </w14:textFill>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color w:val="000000" w:themeColor="text1"/>
          <w:sz w:val="24"/>
          <w:highlight w:val="none"/>
          <w14:textFill>
            <w14:solidFill>
              <w14:schemeClr w14:val="tx1"/>
            </w14:solidFill>
          </w14:textFill>
        </w:rPr>
        <w:fldChar w:fldCharType="separate"/>
      </w:r>
      <w:r>
        <w:rPr>
          <w:rFonts w:ascii="宋体" w:hAnsi="宋体" w:cs="宋体"/>
          <w:bCs/>
          <w:color w:val="000000" w:themeColor="text1"/>
          <w:sz w:val="24"/>
          <w:highlight w:val="none"/>
          <w14:textFill>
            <w14:solidFill>
              <w14:schemeClr w14:val="tx1"/>
            </w14:solidFill>
          </w14:textFill>
        </w:rPr>
        <w:t>资产支持证券</w:t>
      </w:r>
      <w:r>
        <w:rPr>
          <w:rFonts w:ascii="宋体" w:hAnsi="宋体" w:cs="宋体"/>
          <w:bCs/>
          <w:color w:val="000000" w:themeColor="text1"/>
          <w:sz w:val="24"/>
          <w:highlight w:val="none"/>
          <w14:textFill>
            <w14:solidFill>
              <w14:schemeClr w14:val="tx1"/>
            </w14:solidFill>
          </w14:textFill>
        </w:rPr>
        <w:fldChar w:fldCharType="end"/>
      </w:r>
      <w:r>
        <w:rPr>
          <w:rFonts w:hint="eastAsia" w:ascii="宋体" w:hAnsi="宋体" w:cs="宋体"/>
          <w:bCs/>
          <w:color w:val="000000" w:themeColor="text1"/>
          <w:sz w:val="24"/>
          <w:highlight w:val="none"/>
          <w14:textFill>
            <w14:solidFill>
              <w14:schemeClr w14:val="tx1"/>
            </w14:solidFill>
          </w14:textFill>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lang w:eastAsia="zh-CN"/>
          <w14:textFill>
            <w14:solidFill>
              <w14:schemeClr w14:val="tx1"/>
            </w14:solidFill>
          </w14:textFill>
        </w:rPr>
        <w:t>拟投资市场、资产的流动性风险评估</w:t>
      </w:r>
    </w:p>
    <w:p>
      <w:pPr>
        <w:numPr>
          <w:ilvl w:val="0"/>
          <w:numId w:val="0"/>
        </w:numPr>
        <w:spacing w:line="360" w:lineRule="auto"/>
        <w:ind w:firstLine="480" w:firstLineChars="200"/>
        <w:jc w:val="left"/>
        <w:rPr>
          <w:rFonts w:hint="eastAsia"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eastAsia="zh-CN"/>
          <w14:textFill>
            <w14:solidFill>
              <w14:schemeClr w14:val="tx1"/>
            </w14:solidFill>
          </w14:textFill>
        </w:rPr>
        <w:t>本理财计划</w:t>
      </w:r>
      <w:r>
        <w:rPr>
          <w:rFonts w:hint="eastAsia" w:ascii="宋体" w:hAnsi="宋体" w:cs="宋体"/>
          <w:b w:val="0"/>
          <w:bCs/>
          <w:color w:val="000000" w:themeColor="text1"/>
          <w:sz w:val="24"/>
          <w:highlight w:val="none"/>
          <w:lang w:val="en-US" w:eastAsia="zh-CN"/>
          <w14:textFill>
            <w14:solidFill>
              <w14:schemeClr w14:val="tx1"/>
            </w14:solidFill>
          </w14:textFill>
        </w:rPr>
        <w:t>拟投资市场可能面临的流动性风险如下：</w:t>
      </w:r>
    </w:p>
    <w:p>
      <w:pPr>
        <w:numPr>
          <w:ilvl w:val="0"/>
          <w:numId w:val="30"/>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投资于</w:t>
      </w:r>
      <w:r>
        <w:rPr>
          <w:rFonts w:hint="eastAsia" w:ascii="宋体" w:hAnsi="宋体" w:cs="宋体"/>
          <w:bCs/>
          <w:color w:val="000000" w:themeColor="text1"/>
          <w:sz w:val="24"/>
          <w:highlight w:val="none"/>
          <w:lang w:val="en-US" w:eastAsia="zh-CN"/>
          <w14:textFill>
            <w14:solidFill>
              <w14:schemeClr w14:val="tx1"/>
            </w14:solidFill>
          </w14:textFill>
        </w:rPr>
        <w:t>标准化固收类资产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30"/>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30"/>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以上风险仅为列举性质，未能详尽列明拟投资市场和资产面临的全部流动性风险</w:t>
      </w:r>
      <w:r>
        <w:rPr>
          <w:rFonts w:hint="default" w:ascii="宋体" w:hAnsi="宋体" w:cs="宋体"/>
          <w:bCs/>
          <w:color w:val="000000" w:themeColor="text1"/>
          <w:sz w:val="24"/>
          <w:highlight w:val="none"/>
          <w:lang w:val="en-US" w:eastAsia="zh-CN"/>
          <w14:textFill>
            <w14:solidFill>
              <w14:schemeClr w14:val="tx1"/>
            </w14:solidFill>
          </w14:textFill>
        </w:rPr>
        <w:t>可能导致投资者投资本金及收益损失</w:t>
      </w:r>
      <w:r>
        <w:rPr>
          <w:rFonts w:hint="eastAsia" w:ascii="宋体" w:hAnsi="宋体" w:cs="宋体"/>
          <w:bCs/>
          <w:color w:val="000000" w:themeColor="text1"/>
          <w:sz w:val="24"/>
          <w:highlight w:val="none"/>
          <w:lang w:val="en-US" w:eastAsia="zh-CN"/>
          <w14:textFill>
            <w14:solidFill>
              <w14:schemeClr w14:val="tx1"/>
            </w14:solidFill>
          </w14:textFill>
        </w:rPr>
        <w:t>或延期兑付</w:t>
      </w:r>
      <w:r>
        <w:rPr>
          <w:rFonts w:hint="default" w:ascii="宋体" w:hAnsi="宋体" w:cs="宋体"/>
          <w:bCs/>
          <w:color w:val="000000" w:themeColor="text1"/>
          <w:sz w:val="24"/>
          <w:highlight w:val="none"/>
          <w:lang w:val="en-US" w:eastAsia="zh-CN"/>
          <w14:textFill>
            <w14:solidFill>
              <w14:schemeClr w14:val="tx1"/>
            </w14:solidFill>
          </w14:textFill>
        </w:rPr>
        <w:t>的所有因素</w:t>
      </w:r>
      <w:r>
        <w:rPr>
          <w:rFonts w:hint="eastAsia" w:ascii="宋体" w:hAnsi="宋体" w:cs="宋体"/>
          <w:bCs/>
          <w:color w:val="000000" w:themeColor="text1"/>
          <w:sz w:val="24"/>
          <w:highlight w:val="none"/>
          <w:lang w:val="en-US" w:eastAsia="zh-CN"/>
          <w14:textFill>
            <w14:solidFill>
              <w14:schemeClr w14:val="tx1"/>
            </w14:solidFill>
          </w14:textFill>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color w:val="000000" w:themeColor="text1"/>
          <w:sz w:val="24"/>
          <w:highlight w:val="none"/>
          <w:lang w:val="en-US" w:eastAsia="zh-CN"/>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合作机构及主要职责</w:t>
      </w:r>
    </w:p>
    <w:p>
      <w:pPr>
        <w:numPr>
          <w:ilvl w:val="0"/>
          <w:numId w:val="32"/>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托管人名称</w:t>
            </w:r>
          </w:p>
        </w:tc>
        <w:tc>
          <w:tcPr>
            <w:tcW w:w="5790" w:type="dxa"/>
            <w:noWrap w:val="0"/>
            <w:vAlign w:val="top"/>
          </w:tcPr>
          <w:p>
            <w:pPr>
              <w:spacing w:line="360" w:lineRule="auto"/>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托管人住所</w:t>
            </w:r>
          </w:p>
        </w:tc>
        <w:tc>
          <w:tcPr>
            <w:tcW w:w="5790" w:type="dxa"/>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杭州市</w:t>
            </w:r>
            <w:r>
              <w:rPr>
                <w:rFonts w:hint="eastAsia" w:ascii="宋体" w:hAnsi="宋体" w:cs="宋体"/>
                <w:bCs/>
                <w:color w:val="000000" w:themeColor="text1"/>
                <w:sz w:val="21"/>
                <w:szCs w:val="21"/>
                <w:highlight w:val="none"/>
                <w:lang w:val="en-US" w:eastAsia="zh-CN"/>
                <w14:textFill>
                  <w14:solidFill>
                    <w14:schemeClr w14:val="tx1"/>
                  </w14:solidFill>
                </w14:textFill>
              </w:rPr>
              <w:t>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托管人职责</w:t>
            </w:r>
          </w:p>
        </w:tc>
        <w:tc>
          <w:tcPr>
            <w:tcW w:w="5790" w:type="dxa"/>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主要提供包括账户开立、资金保管、资金结算、估值核对等理财产品托管服务。</w:t>
            </w:r>
          </w:p>
        </w:tc>
      </w:tr>
    </w:tbl>
    <w:p>
      <w:pPr>
        <w:numPr>
          <w:ilvl w:val="0"/>
          <w:numId w:val="33"/>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销售机构</w:t>
      </w:r>
    </w:p>
    <w:tbl>
      <w:tblPr>
        <w:tblStyle w:val="11"/>
        <w:tblW w:w="780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475"/>
        <w:gridCol w:w="115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restart"/>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销售机构信息</w:t>
            </w:r>
          </w:p>
        </w:tc>
        <w:tc>
          <w:tcPr>
            <w:tcW w:w="2475" w:type="dxa"/>
            <w:vMerge w:val="restart"/>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杭州银行股份有限公司</w:t>
            </w:r>
          </w:p>
        </w:tc>
        <w:tc>
          <w:tcPr>
            <w:tcW w:w="1155"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住所</w:t>
            </w:r>
          </w:p>
        </w:tc>
        <w:tc>
          <w:tcPr>
            <w:tcW w:w="3210" w:type="dxa"/>
            <w:noWrap w:val="0"/>
            <w:vAlign w:val="center"/>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杭州市</w:t>
            </w:r>
            <w:r>
              <w:rPr>
                <w:rFonts w:hint="eastAsia" w:ascii="宋体" w:hAnsi="宋体" w:cs="宋体"/>
                <w:bCs/>
                <w:color w:val="000000" w:themeColor="text1"/>
                <w:sz w:val="21"/>
                <w:szCs w:val="21"/>
                <w:highlight w:val="none"/>
                <w:lang w:val="en-US" w:eastAsia="zh-CN"/>
                <w14:textFill>
                  <w14:solidFill>
                    <w14:schemeClr w14:val="tx1"/>
                  </w14:solidFill>
                </w14:textFill>
              </w:rPr>
              <w:t>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p>
        </w:tc>
        <w:tc>
          <w:tcPr>
            <w:tcW w:w="2475" w:type="dxa"/>
            <w:vMerge w:val="continue"/>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p>
        </w:tc>
        <w:tc>
          <w:tcPr>
            <w:tcW w:w="1155"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客服热线</w:t>
            </w:r>
          </w:p>
        </w:tc>
        <w:tc>
          <w:tcPr>
            <w:tcW w:w="3210"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p>
        </w:tc>
        <w:tc>
          <w:tcPr>
            <w:tcW w:w="2475" w:type="dxa"/>
            <w:vMerge w:val="restart"/>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兰州银行股份有限公司</w:t>
            </w:r>
          </w:p>
        </w:tc>
        <w:tc>
          <w:tcPr>
            <w:tcW w:w="1155" w:type="dxa"/>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住所</w:t>
            </w:r>
          </w:p>
        </w:tc>
        <w:tc>
          <w:tcPr>
            <w:tcW w:w="3210" w:type="dxa"/>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甘肃省兰州市酒泉路211号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p>
        </w:tc>
        <w:tc>
          <w:tcPr>
            <w:tcW w:w="2475" w:type="dxa"/>
            <w:vMerge w:val="continue"/>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p>
        </w:tc>
        <w:tc>
          <w:tcPr>
            <w:tcW w:w="1155" w:type="dxa"/>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客服热线</w:t>
            </w:r>
          </w:p>
        </w:tc>
        <w:tc>
          <w:tcPr>
            <w:tcW w:w="3210" w:type="dxa"/>
            <w:noWrap w:val="0"/>
            <w:vAlign w:val="center"/>
          </w:tcPr>
          <w:p>
            <w:pPr>
              <w:spacing w:line="360" w:lineRule="auto"/>
              <w:jc w:val="cente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4008896799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p>
        </w:tc>
        <w:tc>
          <w:tcPr>
            <w:tcW w:w="2475" w:type="dxa"/>
            <w:vMerge w:val="restart"/>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杭银理财有限责任公司</w:t>
            </w:r>
          </w:p>
        </w:tc>
        <w:tc>
          <w:tcPr>
            <w:tcW w:w="1155" w:type="dxa"/>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住所</w:t>
            </w:r>
          </w:p>
        </w:tc>
        <w:tc>
          <w:tcPr>
            <w:tcW w:w="3210" w:type="dxa"/>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p>
        </w:tc>
        <w:tc>
          <w:tcPr>
            <w:tcW w:w="2475" w:type="dxa"/>
            <w:vMerge w:val="continue"/>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p>
        </w:tc>
        <w:tc>
          <w:tcPr>
            <w:tcW w:w="1155" w:type="dxa"/>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客服热线</w:t>
            </w:r>
          </w:p>
        </w:tc>
        <w:tc>
          <w:tcPr>
            <w:tcW w:w="3210" w:type="dxa"/>
            <w:noWrap w:val="0"/>
            <w:vAlign w:val="center"/>
          </w:tcPr>
          <w:p>
            <w:pPr>
              <w:spacing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noWrap w:val="0"/>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销售机构职责</w:t>
            </w:r>
          </w:p>
        </w:tc>
        <w:tc>
          <w:tcPr>
            <w:tcW w:w="6840" w:type="dxa"/>
            <w:gridSpan w:val="3"/>
            <w:noWrap w:val="0"/>
            <w:vAlign w:val="top"/>
          </w:tcPr>
          <w:p>
            <w:pPr>
              <w:spacing w:line="360" w:lineRule="auto"/>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主要负责理财计划推广、投资者风险承受能力评估、投资者适当性管理、理财计划份额认购、申购及赎回办理。</w:t>
            </w:r>
          </w:p>
          <w:p>
            <w:pPr>
              <w:spacing w:line="360" w:lineRule="auto"/>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协助管理人负责与投资者签订理财计划合同、与投资者沟通及进行信息披露、接受投资者咨询和维护等销售服务。</w:t>
            </w:r>
          </w:p>
        </w:tc>
      </w:tr>
    </w:tbl>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本理财计划后续如新增/减少销售机构或销售机构信息变更，请以管理人最新公告</w:t>
      </w:r>
      <w:r>
        <w:rPr>
          <w:rFonts w:hint="eastAsia" w:ascii="宋体" w:hAnsi="宋体" w:cs="宋体"/>
          <w:bCs/>
          <w:color w:val="000000" w:themeColor="text1"/>
          <w:sz w:val="24"/>
          <w:highlight w:val="none"/>
          <w:lang w:eastAsia="zh-CN"/>
          <w14:textFill>
            <w14:solidFill>
              <w14:schemeClr w14:val="tx1"/>
            </w14:solidFill>
          </w14:textFill>
        </w:rPr>
        <w:t>或官方网站展示</w:t>
      </w:r>
      <w:r>
        <w:rPr>
          <w:rFonts w:hint="eastAsia" w:ascii="宋体" w:hAnsi="宋体" w:cs="宋体"/>
          <w:bCs/>
          <w:color w:val="000000" w:themeColor="text1"/>
          <w:sz w:val="24"/>
          <w:highlight w:val="none"/>
          <w14:textFill>
            <w14:solidFill>
              <w14:schemeClr w14:val="tx1"/>
            </w14:solidFill>
          </w14:textFill>
        </w:rPr>
        <w:t>为准。</w:t>
      </w:r>
    </w:p>
    <w:p>
      <w:pPr>
        <w:spacing w:line="360" w:lineRule="auto"/>
        <w:jc w:val="left"/>
        <w:rPr>
          <w:rFonts w:ascii="宋体" w:hAnsi="宋体" w:cs="宋体"/>
          <w:bCs/>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估值日</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本理财计划估值日为每个</w:t>
      </w:r>
      <w:r>
        <w:rPr>
          <w:rFonts w:hint="eastAsia" w:ascii="宋体" w:hAnsi="宋体" w:cs="宋体"/>
          <w:bCs/>
          <w:color w:val="000000" w:themeColor="text1"/>
          <w:sz w:val="24"/>
          <w:highlight w:val="none"/>
          <w:lang w:eastAsia="zh-CN"/>
          <w14:textFill>
            <w14:solidFill>
              <w14:schemeClr w14:val="tx1"/>
            </w14:solidFill>
          </w14:textFill>
        </w:rPr>
        <w:t>工作日</w:t>
      </w:r>
      <w:r>
        <w:rPr>
          <w:rFonts w:hint="eastAsia" w:ascii="宋体" w:hAnsi="宋体" w:cs="宋体"/>
          <w:bCs/>
          <w:color w:val="000000" w:themeColor="text1"/>
          <w:sz w:val="24"/>
          <w:highlight w:val="none"/>
          <w14:textFill>
            <w14:solidFill>
              <w14:schemeClr w14:val="tx1"/>
            </w14:solidFill>
          </w14:textFill>
        </w:rPr>
        <w:t>，定期由理财管理人和理财托管人核对估值结果并向投资者披露，具体日期以管理人公告为准。</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估值对象</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本理财计划所投资的所有资产及负债。</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估值目的</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客观、准确反映理财计划的价值。</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估值方法</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理财计划所投资各类资产按照会计准则和监管要求进行会计分类，并按如下规则进行计量：</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货币市场工具类资产</w:t>
      </w:r>
    </w:p>
    <w:p>
      <w:pPr>
        <w:pStyle w:val="17"/>
        <w:adjustRightInd/>
        <w:spacing w:line="360" w:lineRule="auto"/>
        <w:ind w:firstLine="480" w:firstLineChars="200"/>
        <w:rPr>
          <w:rFonts w:hint="eastAsia" w:ascii="宋体" w:hAnsi="宋体" w:eastAsia="宋体" w:cs="宋体"/>
          <w:bCs/>
          <w:color w:val="000000" w:themeColor="text1"/>
          <w:kern w:val="2"/>
          <w:highlight w:val="none"/>
          <w:lang w:eastAsia="zh-CN"/>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银行存款</w:t>
      </w:r>
      <w:r>
        <w:rPr>
          <w:rFonts w:hint="eastAsia" w:ascii="宋体" w:hAnsi="宋体" w:cs="宋体"/>
          <w:bCs/>
          <w:color w:val="000000" w:themeColor="text1"/>
          <w:kern w:val="2"/>
          <w:highlight w:val="none"/>
          <w14:textFill>
            <w14:solidFill>
              <w14:schemeClr w14:val="tx1"/>
            </w14:solidFill>
          </w14:textFill>
        </w:rPr>
        <w:t>及回购，以本金列示，按商定利率在实际持有期间内逐日计提利息。</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债券</w:t>
      </w:r>
      <w:r>
        <w:rPr>
          <w:rFonts w:hint="eastAsia" w:ascii="宋体" w:hAnsi="宋体" w:cs="宋体"/>
          <w:bCs/>
          <w:color w:val="000000" w:themeColor="text1"/>
          <w:sz w:val="24"/>
          <w:highlight w:val="none"/>
          <w:lang w:eastAsia="zh-CN"/>
          <w14:textFill>
            <w14:solidFill>
              <w14:schemeClr w14:val="tx1"/>
            </w14:solidFill>
          </w14:textFill>
        </w:rPr>
        <w:t>及同业存单类</w:t>
      </w:r>
      <w:r>
        <w:rPr>
          <w:rFonts w:hint="eastAsia" w:ascii="宋体" w:hAnsi="宋体" w:cs="宋体"/>
          <w:bCs/>
          <w:color w:val="000000" w:themeColor="text1"/>
          <w:sz w:val="24"/>
          <w:highlight w:val="none"/>
          <w14:textFill>
            <w14:solidFill>
              <w14:schemeClr w14:val="tx1"/>
            </w14:solidFill>
          </w14:textFill>
        </w:rPr>
        <w:t>资产</w:t>
      </w:r>
    </w:p>
    <w:p>
      <w:pPr>
        <w:numPr>
          <w:ilvl w:val="0"/>
          <w:numId w:val="0"/>
        </w:numPr>
        <w:spacing w:line="360" w:lineRule="auto"/>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债券及同业存单类资产，按市价法估值。市价法不能确定公允价值的，采用估值技术进行估值。</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债权类</w:t>
      </w:r>
      <w:r>
        <w:rPr>
          <w:rFonts w:hint="eastAsia" w:ascii="宋体" w:hAnsi="宋体" w:cs="宋体"/>
          <w:bCs/>
          <w:color w:val="000000" w:themeColor="text1"/>
          <w:sz w:val="24"/>
          <w:highlight w:val="none"/>
          <w14:textFill>
            <w14:solidFill>
              <w14:schemeClr w14:val="tx1"/>
            </w14:solidFill>
          </w14:textFill>
        </w:rPr>
        <w:t>资产</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债权类资产，按市价法估值。市价法不能确定其公允价值的，采用估值技术进行估值。</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股权类</w:t>
      </w:r>
      <w:r>
        <w:rPr>
          <w:rFonts w:hint="eastAsia" w:ascii="宋体" w:hAnsi="宋体" w:cs="宋体"/>
          <w:bCs/>
          <w:color w:val="000000" w:themeColor="text1"/>
          <w:sz w:val="24"/>
          <w:highlight w:val="none"/>
          <w14:textFill>
            <w14:solidFill>
              <w14:schemeClr w14:val="tx1"/>
            </w14:solidFill>
          </w14:textFill>
        </w:rPr>
        <w:t>资产</w:t>
      </w:r>
    </w:p>
    <w:p>
      <w:pPr>
        <w:numPr>
          <w:ilvl w:val="0"/>
          <w:numId w:val="36"/>
        </w:num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上</w:t>
      </w:r>
      <w:r>
        <w:rPr>
          <w:rFonts w:hint="eastAsia" w:ascii="宋体" w:hAnsi="宋体" w:cs="宋体"/>
          <w:bCs/>
          <w:color w:val="000000" w:themeColor="text1"/>
          <w:sz w:val="24"/>
          <w:highlight w:val="none"/>
          <w14:textFill>
            <w14:solidFill>
              <w14:schemeClr w14:val="tx1"/>
            </w14:solidFill>
          </w14:textFill>
        </w:rPr>
        <w:t>市流通股票按估值日其所在证券交易所的收盘价估值；估值日无交易，且最近交易日后未发生影响公允价值计量的重大事件的，以最近交易日的收盘价估值。</w:t>
      </w:r>
    </w:p>
    <w:p>
      <w:pPr>
        <w:numPr>
          <w:ilvl w:val="0"/>
          <w:numId w:val="36"/>
        </w:num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未上市股票的估值：</w:t>
      </w:r>
    </w:p>
    <w:p>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首次发行未上市的股票，按发行价格进行估值；</w:t>
      </w:r>
    </w:p>
    <w:p>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因持有股票而享有的配股权，采用估值技术确定公允价值。</w:t>
      </w:r>
    </w:p>
    <w:p>
      <w:pPr>
        <w:numPr>
          <w:ilvl w:val="0"/>
          <w:numId w:val="36"/>
        </w:num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非上市股权的估值：</w:t>
      </w:r>
    </w:p>
    <w:p>
      <w:pPr>
        <w:numPr>
          <w:ilvl w:val="0"/>
          <w:numId w:val="0"/>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非上市股权类资产，按照国家最新规定，采用合理的估值技术进行估值。</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基金、资产管理计划类</w:t>
      </w:r>
      <w:r>
        <w:rPr>
          <w:rFonts w:hint="eastAsia" w:ascii="宋体" w:hAnsi="宋体" w:cs="宋体"/>
          <w:bCs/>
          <w:color w:val="000000" w:themeColor="text1"/>
          <w:sz w:val="24"/>
          <w:highlight w:val="none"/>
          <w14:textFill>
            <w14:solidFill>
              <w14:schemeClr w14:val="tx1"/>
            </w14:solidFill>
          </w14:textFill>
        </w:rPr>
        <w:t>资产</w:t>
      </w:r>
    </w:p>
    <w:p>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5"/>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其他资产的估值方法</w:t>
      </w:r>
    </w:p>
    <w:p>
      <w:pPr>
        <w:pStyle w:val="17"/>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以</w:t>
      </w:r>
      <w:r>
        <w:rPr>
          <w:rFonts w:hint="eastAsia" w:ascii="宋体" w:hAnsi="宋体" w:cs="宋体"/>
          <w:bCs/>
          <w:color w:val="000000" w:themeColor="text1"/>
          <w:sz w:val="24"/>
          <w:highlight w:val="none"/>
          <w14:textFill>
            <w14:solidFill>
              <w14:schemeClr w14:val="tx1"/>
            </w14:solidFill>
          </w14:textFill>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当理财计划管理人或托管人认为按上述方法对理财计划进行估值不能客观反映其公允价值的，可以在满足监管要求的前提下协商一致后，</w:t>
      </w:r>
      <w:r>
        <w:rPr>
          <w:rFonts w:hint="eastAsia" w:ascii="宋体" w:hAnsi="宋体" w:cs="宋体"/>
          <w:bCs/>
          <w:color w:val="000000" w:themeColor="text1"/>
          <w:kern w:val="2"/>
          <w:highlight w:val="none"/>
          <w:lang w:eastAsia="zh-CN"/>
          <w14:textFill>
            <w14:solidFill>
              <w14:schemeClr w14:val="tx1"/>
            </w14:solidFill>
          </w14:textFill>
        </w:rPr>
        <w:t>按最能反映公允价值的价格估值，</w:t>
      </w:r>
      <w:r>
        <w:rPr>
          <w:rFonts w:hint="eastAsia" w:ascii="宋体" w:hAnsi="宋体" w:cs="宋体"/>
          <w:bCs/>
          <w:color w:val="000000" w:themeColor="text1"/>
          <w:kern w:val="2"/>
          <w:highlight w:val="none"/>
          <w14:textFill>
            <w14:solidFill>
              <w14:schemeClr w14:val="tx1"/>
            </w14:solidFill>
          </w14:textFill>
        </w:rPr>
        <w:t>并自协商一致日后执行。</w:t>
      </w:r>
    </w:p>
    <w:p>
      <w:pPr>
        <w:pStyle w:val="17"/>
        <w:tabs>
          <w:tab w:val="left" w:pos="0"/>
        </w:tabs>
        <w:spacing w:line="360" w:lineRule="auto"/>
        <w:ind w:firstLine="480" w:firstLineChars="200"/>
        <w:rPr>
          <w:rFonts w:hint="eastAsia" w:ascii="宋体" w:hAnsi="宋体" w:cs="宋体"/>
          <w:bCs/>
          <w:color w:val="000000" w:themeColor="text1"/>
          <w:kern w:val="2"/>
          <w:highlight w:val="none"/>
          <w14:textFill>
            <w14:solidFill>
              <w14:schemeClr w14:val="tx1"/>
            </w14:solidFill>
          </w14:textFill>
        </w:rPr>
      </w:pPr>
      <w:r>
        <w:rPr>
          <w:rFonts w:hint="eastAsia" w:ascii="宋体" w:hAnsi="宋体" w:cs="宋体"/>
          <w:bCs/>
          <w:color w:val="000000" w:themeColor="text1"/>
          <w:kern w:val="2"/>
          <w:highlight w:val="none"/>
          <w14:textFill>
            <w14:solidFill>
              <w14:schemeClr w14:val="tx1"/>
            </w14:solidFill>
          </w14:textFill>
        </w:rPr>
        <w:t>如在本理财计划发行、募集、管理期间，有权管理机关对财务报告准则、估值核算方法标准进行调整，管理人有权根据相关机关要求对本理财计划的估值方法进行相应修改。</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估值差错处理</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暂停估值情形</w:t>
      </w:r>
    </w:p>
    <w:p>
      <w:pPr>
        <w:numPr>
          <w:ilvl w:val="0"/>
          <w:numId w:val="3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理财计划投资所涉及的交易市场遇法定节假日或因其他原因暂停营业时暂停估值，该种情况理财计划估值日期</w:t>
      </w:r>
      <w:r>
        <w:rPr>
          <w:rFonts w:hint="eastAsia" w:ascii="宋体" w:hAnsi="宋体" w:cs="宋体"/>
          <w:bCs/>
          <w:color w:val="000000" w:themeColor="text1"/>
          <w:sz w:val="24"/>
          <w:highlight w:val="none"/>
          <w:lang w:eastAsia="zh-CN"/>
          <w14:textFill>
            <w14:solidFill>
              <w14:schemeClr w14:val="tx1"/>
            </w14:solidFill>
          </w14:textFill>
        </w:rPr>
        <w:t>提前到上</w:t>
      </w:r>
      <w:r>
        <w:rPr>
          <w:rFonts w:hint="eastAsia" w:ascii="宋体" w:hAnsi="宋体" w:cs="宋体"/>
          <w:bCs/>
          <w:color w:val="000000" w:themeColor="text1"/>
          <w:sz w:val="24"/>
          <w:highlight w:val="none"/>
          <w14:textFill>
            <w14:solidFill>
              <w14:schemeClr w14:val="tx1"/>
            </w14:solidFill>
          </w14:textFill>
        </w:rPr>
        <w:t>一交易日。</w:t>
      </w:r>
    </w:p>
    <w:p>
      <w:pPr>
        <w:numPr>
          <w:ilvl w:val="0"/>
          <w:numId w:val="3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因不可抗力或其他情形致使理财计划管理人、理财计划托管人无法准确评估资产价值时。</w:t>
      </w:r>
    </w:p>
    <w:p>
      <w:pPr>
        <w:numPr>
          <w:ilvl w:val="0"/>
          <w:numId w:val="3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当</w:t>
      </w:r>
      <w:r>
        <w:rPr>
          <w:rFonts w:hint="eastAsia" w:ascii="宋体" w:hAnsi="宋体" w:cs="宋体"/>
          <w:bCs/>
          <w:color w:val="000000" w:themeColor="text1"/>
          <w:sz w:val="24"/>
          <w:highlight w:val="none"/>
          <w:lang w:val="en-US" w:eastAsia="zh-CN"/>
          <w14:textFill>
            <w14:solidFill>
              <w14:schemeClr w14:val="tx1"/>
            </w14:solidFill>
          </w14:textFill>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themeColor="text1"/>
          <w:sz w:val="24"/>
          <w:highlight w:val="none"/>
          <w14:textFill>
            <w14:solidFill>
              <w14:schemeClr w14:val="tx1"/>
            </w14:solidFill>
          </w14:textFill>
        </w:rPr>
        <w:t>延缓支付赎回款项或暂停接受理财</w:t>
      </w:r>
      <w:r>
        <w:rPr>
          <w:rFonts w:hint="eastAsia" w:ascii="宋体" w:hAnsi="宋体" w:cs="宋体"/>
          <w:bCs/>
          <w:color w:val="000000" w:themeColor="text1"/>
          <w:sz w:val="24"/>
          <w:highlight w:val="none"/>
          <w:lang w:eastAsia="zh-CN"/>
          <w14:textFill>
            <w14:solidFill>
              <w14:schemeClr w14:val="tx1"/>
            </w14:solidFill>
          </w14:textFill>
        </w:rPr>
        <w:t>计划</w:t>
      </w:r>
      <w:r>
        <w:rPr>
          <w:rFonts w:hint="eastAsia" w:ascii="宋体" w:hAnsi="宋体" w:cs="宋体"/>
          <w:bCs/>
          <w:color w:val="000000" w:themeColor="text1"/>
          <w:sz w:val="24"/>
          <w:highlight w:val="none"/>
          <w14:textFill>
            <w14:solidFill>
              <w14:schemeClr w14:val="tx1"/>
            </w14:solidFill>
          </w14:textFill>
        </w:rPr>
        <w:t>认购、赎回申请等</w:t>
      </w:r>
      <w:r>
        <w:rPr>
          <w:rFonts w:hint="eastAsia" w:ascii="宋体" w:hAnsi="宋体" w:cs="宋体"/>
          <w:bCs/>
          <w:color w:val="000000" w:themeColor="text1"/>
          <w:sz w:val="24"/>
          <w:highlight w:val="none"/>
          <w:lang w:val="en-US" w:eastAsia="zh-CN"/>
          <w14:textFill>
            <w14:solidFill>
              <w14:schemeClr w14:val="tx1"/>
            </w14:solidFill>
          </w14:textFill>
        </w:rPr>
        <w:t>措施。</w:t>
      </w:r>
    </w:p>
    <w:p>
      <w:pPr>
        <w:numPr>
          <w:ilvl w:val="0"/>
          <w:numId w:val="37"/>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理财计划管理人、托管人有合理理由认为将影响本理财计划估值的其他情形发生。</w:t>
      </w:r>
    </w:p>
    <w:p>
      <w:pPr>
        <w:numPr>
          <w:ilvl w:val="0"/>
          <w:numId w:val="3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资产账册的建立</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费用及税收</w:t>
      </w:r>
    </w:p>
    <w:p>
      <w:pPr>
        <w:numPr>
          <w:ilvl w:val="0"/>
          <w:numId w:val="3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费用种类</w:t>
      </w:r>
    </w:p>
    <w:p>
      <w:pPr>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w:t>
      </w:r>
      <w:r>
        <w:rPr>
          <w:rFonts w:hint="eastAsia" w:ascii="宋体" w:hAnsi="宋体" w:cs="宋体"/>
          <w:bCs/>
          <w:color w:val="000000" w:themeColor="text1"/>
          <w:sz w:val="24"/>
          <w:highlight w:val="none"/>
          <w:lang w:eastAsia="zh-CN"/>
          <w14:textFill>
            <w14:solidFill>
              <w14:schemeClr w14:val="tx1"/>
            </w14:solidFill>
          </w14:textFill>
        </w:rPr>
        <w:t>涉及</w:t>
      </w:r>
      <w:r>
        <w:rPr>
          <w:rFonts w:hint="eastAsia" w:ascii="宋体" w:hAnsi="宋体" w:cs="宋体"/>
          <w:bCs/>
          <w:color w:val="000000" w:themeColor="text1"/>
          <w:sz w:val="24"/>
          <w:highlight w:val="none"/>
          <w14:textFill>
            <w14:solidFill>
              <w14:schemeClr w14:val="tx1"/>
            </w14:solidFill>
          </w14:textFill>
        </w:rPr>
        <w:t>费用包括</w:t>
      </w:r>
      <w:r>
        <w:rPr>
          <w:rFonts w:hint="eastAsia" w:ascii="宋体" w:hAnsi="宋体" w:cs="宋体"/>
          <w:bCs/>
          <w:color w:val="000000" w:themeColor="text1"/>
          <w:sz w:val="24"/>
          <w:highlight w:val="none"/>
          <w:lang w:eastAsia="zh-CN"/>
          <w14:textFill>
            <w14:solidFill>
              <w14:schemeClr w14:val="tx1"/>
            </w14:solidFill>
          </w14:textFill>
        </w:rPr>
        <w:t>销售服务费</w:t>
      </w:r>
      <w:r>
        <w:rPr>
          <w:rFonts w:hint="eastAsia" w:ascii="宋体" w:hAnsi="宋体" w:cs="宋体"/>
          <w:bCs/>
          <w:color w:val="000000" w:themeColor="text1"/>
          <w:sz w:val="24"/>
          <w:highlight w:val="none"/>
          <w14:textFill>
            <w14:solidFill>
              <w14:schemeClr w14:val="tx1"/>
            </w14:solidFill>
          </w14:textFill>
        </w:rPr>
        <w:t>、托管费、固定管理费、认购费、申购费、赎回费、浮动管理费以及理财计划运作和清算中产生的其他费用等。</w:t>
      </w:r>
    </w:p>
    <w:p>
      <w:pPr>
        <w:numPr>
          <w:ilvl w:val="0"/>
          <w:numId w:val="3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费用计提方法、标准及支付方式</w:t>
      </w:r>
    </w:p>
    <w:p>
      <w:pPr>
        <w:numPr>
          <w:ilvl w:val="0"/>
          <w:numId w:val="39"/>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销售服务费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以</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A份额</w:t>
      </w:r>
      <w:r>
        <w:rPr>
          <w:rFonts w:hint="eastAsia" w:ascii="宋体" w:hAnsi="宋体" w:cs="宋体"/>
          <w:bCs/>
          <w:color w:val="000000" w:themeColor="text1"/>
          <w:sz w:val="24"/>
          <w:highlight w:val="none"/>
          <w14:textFill>
            <w14:solidFill>
              <w14:schemeClr w14:val="tx1"/>
            </w14:solidFill>
          </w14:textFill>
        </w:rPr>
        <w:t>〗为例</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理财计划财产的年化</w:t>
      </w:r>
      <w:r>
        <w:rPr>
          <w:rFonts w:hint="eastAsia" w:ascii="宋体" w:hAnsi="宋体" w:cs="宋体"/>
          <w:bCs/>
          <w:color w:val="000000" w:themeColor="text1"/>
          <w:sz w:val="24"/>
          <w:highlight w:val="none"/>
          <w:lang w:eastAsia="zh-CN"/>
          <w14:textFill>
            <w14:solidFill>
              <w14:schemeClr w14:val="tx1"/>
            </w14:solidFill>
          </w14:textFill>
        </w:rPr>
        <w:t>销售服务费</w:t>
      </w:r>
      <w:r>
        <w:rPr>
          <w:rFonts w:hint="eastAsia" w:ascii="宋体" w:hAnsi="宋体" w:cs="宋体"/>
          <w:bCs/>
          <w:color w:val="000000" w:themeColor="text1"/>
          <w:sz w:val="24"/>
          <w:highlight w:val="none"/>
          <w14:textFill>
            <w14:solidFill>
              <w14:schemeClr w14:val="tx1"/>
            </w14:solidFill>
          </w14:textFill>
        </w:rPr>
        <w:t>率为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0.30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，计算方法如下：</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H＝E×</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0.30%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365</w:t>
      </w:r>
    </w:p>
    <w:p>
      <w:pPr>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H为每日应计提的</w:t>
      </w:r>
      <w:r>
        <w:rPr>
          <w:rFonts w:hint="eastAsia" w:ascii="宋体" w:hAnsi="宋体" w:cs="宋体"/>
          <w:bCs/>
          <w:color w:val="000000" w:themeColor="text1"/>
          <w:sz w:val="24"/>
          <w:highlight w:val="none"/>
          <w:lang w:eastAsia="zh-CN"/>
          <w14:textFill>
            <w14:solidFill>
              <w14:schemeClr w14:val="tx1"/>
            </w14:solidFill>
          </w14:textFill>
        </w:rPr>
        <w:t>销售服务费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E为本理财计划</w:t>
      </w:r>
      <w:r>
        <w:rPr>
          <w:rFonts w:hint="eastAsia" w:ascii="宋体" w:hAnsi="宋体" w:cs="宋体"/>
          <w:bCs/>
          <w:color w:val="000000" w:themeColor="text1"/>
          <w:sz w:val="24"/>
          <w:highlight w:val="none"/>
          <w:lang w:val="en-US" w:eastAsia="zh-CN"/>
          <w14:textFill>
            <w14:solidFill>
              <w14:schemeClr w14:val="tx1"/>
            </w14:solidFill>
          </w14:textFill>
        </w:rPr>
        <w:t>份额</w:t>
      </w:r>
      <w:r>
        <w:rPr>
          <w:rFonts w:hint="eastAsia" w:ascii="宋体" w:hAnsi="宋体" w:cs="宋体"/>
          <w:bCs/>
          <w:color w:val="000000" w:themeColor="text1"/>
          <w:sz w:val="24"/>
          <w:highlight w:val="none"/>
          <w14:textFill>
            <w14:solidFill>
              <w14:schemeClr w14:val="tx1"/>
            </w14:solidFill>
          </w14:textFill>
        </w:rPr>
        <w:t>前一日资产净值</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销售服务费</w:t>
      </w:r>
      <w:r>
        <w:rPr>
          <w:rFonts w:hint="eastAsia" w:ascii="宋体" w:hAnsi="宋体" w:cs="宋体"/>
          <w:bCs/>
          <w:color w:val="000000" w:themeColor="text1"/>
          <w:sz w:val="24"/>
          <w:highlight w:val="none"/>
          <w14:textFill>
            <w14:solidFill>
              <w14:schemeClr w14:val="tx1"/>
            </w14:solidFill>
          </w14:textFill>
        </w:rPr>
        <w:t>原则上按日计提。</w:t>
      </w:r>
    </w:p>
    <w:p>
      <w:pPr>
        <w:numPr>
          <w:ilvl w:val="0"/>
          <w:numId w:val="39"/>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托管费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理财计划财产的年化托管费为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0.025</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，计算方法如下：</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H＝E×</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0.025</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365</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H为每日应计提的托管费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E为本理财计划前一日资产净值</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托管费原则上按日计提。</w:t>
      </w:r>
    </w:p>
    <w:p>
      <w:pPr>
        <w:numPr>
          <w:ilvl w:val="0"/>
          <w:numId w:val="39"/>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固定管理费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以</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A份额</w:t>
      </w:r>
      <w:r>
        <w:rPr>
          <w:rFonts w:hint="eastAsia" w:ascii="宋体" w:hAnsi="宋体" w:cs="宋体"/>
          <w:bCs/>
          <w:color w:val="000000" w:themeColor="text1"/>
          <w:sz w:val="24"/>
          <w:highlight w:val="none"/>
          <w14:textFill>
            <w14:solidFill>
              <w14:schemeClr w14:val="tx1"/>
            </w14:solidFill>
          </w14:textFill>
        </w:rPr>
        <w:t>〗为例</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理财计划财产的年化固定管理费率为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0.40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，计算方法如下：</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H＝E×</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0.40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365</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H为每日应计提的</w:t>
      </w:r>
      <w:r>
        <w:rPr>
          <w:rFonts w:hint="eastAsia" w:ascii="宋体" w:hAnsi="宋体" w:cs="宋体"/>
          <w:bCs/>
          <w:color w:val="000000" w:themeColor="text1"/>
          <w:sz w:val="24"/>
          <w:highlight w:val="none"/>
          <w:lang w:eastAsia="zh-CN"/>
          <w14:textFill>
            <w14:solidFill>
              <w14:schemeClr w14:val="tx1"/>
            </w14:solidFill>
          </w14:textFill>
        </w:rPr>
        <w:t>固定</w:t>
      </w:r>
      <w:r>
        <w:rPr>
          <w:rFonts w:hint="eastAsia" w:ascii="宋体" w:hAnsi="宋体" w:cs="宋体"/>
          <w:bCs/>
          <w:color w:val="000000" w:themeColor="text1"/>
          <w:sz w:val="24"/>
          <w:highlight w:val="none"/>
          <w14:textFill>
            <w14:solidFill>
              <w14:schemeClr w14:val="tx1"/>
            </w14:solidFill>
          </w14:textFill>
        </w:rPr>
        <w:t>管理费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E为本理财计划</w:t>
      </w:r>
      <w:r>
        <w:rPr>
          <w:rFonts w:hint="eastAsia" w:ascii="宋体" w:hAnsi="宋体" w:cs="宋体"/>
          <w:bCs/>
          <w:color w:val="000000" w:themeColor="text1"/>
          <w:sz w:val="24"/>
          <w:highlight w:val="none"/>
          <w:lang w:val="en-US" w:eastAsia="zh-CN"/>
          <w14:textFill>
            <w14:solidFill>
              <w14:schemeClr w14:val="tx1"/>
            </w14:solidFill>
          </w14:textFill>
        </w:rPr>
        <w:t>份额</w:t>
      </w:r>
      <w:r>
        <w:rPr>
          <w:rFonts w:hint="eastAsia" w:ascii="宋体" w:hAnsi="宋体" w:cs="宋体"/>
          <w:bCs/>
          <w:color w:val="000000" w:themeColor="text1"/>
          <w:sz w:val="24"/>
          <w:highlight w:val="none"/>
          <w14:textFill>
            <w14:solidFill>
              <w14:schemeClr w14:val="tx1"/>
            </w14:solidFill>
          </w14:textFill>
        </w:rPr>
        <w:t>前一日资产净值</w:t>
      </w:r>
    </w:p>
    <w:p>
      <w:pPr>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固定管理费原则上按日计提</w:t>
      </w:r>
      <w:r>
        <w:rPr>
          <w:rFonts w:hint="eastAsia" w:ascii="宋体" w:hAnsi="宋体" w:cs="宋体"/>
          <w:bCs/>
          <w:color w:val="000000" w:themeColor="text1"/>
          <w:sz w:val="24"/>
          <w:highlight w:val="none"/>
          <w:lang w:eastAsia="zh-CN"/>
          <w14:textFill>
            <w14:solidFill>
              <w14:schemeClr w14:val="tx1"/>
            </w14:solidFill>
          </w14:textFill>
        </w:rPr>
        <w:t>，管理人有权</w:t>
      </w:r>
      <w:r>
        <w:rPr>
          <w:rFonts w:hint="eastAsia" w:ascii="宋体" w:hAnsi="宋体" w:cs="宋体"/>
          <w:bCs/>
          <w:color w:val="000000" w:themeColor="text1"/>
          <w:sz w:val="24"/>
          <w:highlight w:val="none"/>
          <w:lang w:val="en-US" w:eastAsia="zh-CN"/>
          <w14:textFill>
            <w14:solidFill>
              <w14:schemeClr w14:val="tx1"/>
            </w14:solidFill>
          </w14:textFill>
        </w:rPr>
        <w:t>根据实际运作情况</w:t>
      </w:r>
      <w:r>
        <w:rPr>
          <w:rFonts w:hint="eastAsia" w:ascii="宋体" w:hAnsi="宋体" w:cs="宋体"/>
          <w:bCs/>
          <w:color w:val="000000" w:themeColor="text1"/>
          <w:sz w:val="24"/>
          <w:highlight w:val="none"/>
          <w:lang w:eastAsia="zh-CN"/>
          <w14:textFill>
            <w14:solidFill>
              <w14:schemeClr w14:val="tx1"/>
            </w14:solidFill>
          </w14:textFill>
        </w:rPr>
        <w:t>减免固定管理费。</w:t>
      </w:r>
    </w:p>
    <w:p>
      <w:pPr>
        <w:numPr>
          <w:ilvl w:val="0"/>
          <w:numId w:val="39"/>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认购费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本理财计划免除认购费。</w:t>
      </w:r>
    </w:p>
    <w:p>
      <w:pPr>
        <w:numPr>
          <w:ilvl w:val="0"/>
          <w:numId w:val="40"/>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申购费</w:t>
      </w:r>
    </w:p>
    <w:p>
      <w:pPr>
        <w:spacing w:line="360" w:lineRule="auto"/>
        <w:ind w:firstLine="480" w:firstLineChars="200"/>
        <w:jc w:val="left"/>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本理财计划免除申购费。</w:t>
      </w:r>
    </w:p>
    <w:p>
      <w:pPr>
        <w:numPr>
          <w:ilvl w:val="0"/>
          <w:numId w:val="40"/>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赎回费</w:t>
      </w:r>
    </w:p>
    <w:p>
      <w:pPr>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本理财计划免除赎回费。</w:t>
      </w:r>
    </w:p>
    <w:p>
      <w:pPr>
        <w:numPr>
          <w:ilvl w:val="0"/>
          <w:numId w:val="41"/>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浮动管理费</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bookmarkStart w:id="1" w:name="OLE_LINK13"/>
      <w:r>
        <w:rPr>
          <w:rFonts w:hint="eastAsia" w:ascii="宋体" w:hAnsi="宋体" w:cs="宋体"/>
          <w:bCs/>
          <w:color w:val="000000" w:themeColor="text1"/>
          <w:sz w:val="24"/>
          <w:highlight w:val="none"/>
          <w14:textFill>
            <w14:solidFill>
              <w14:schemeClr w14:val="tx1"/>
            </w14:solidFill>
          </w14:textFill>
        </w:rPr>
        <w:t>本理财计划免除浮动管理费。</w:t>
      </w:r>
      <w:bookmarkEnd w:id="1"/>
      <w:bookmarkStart w:id="2" w:name="OLE_LINK11"/>
      <w:bookmarkStart w:id="3" w:name="OLE_LINK2"/>
    </w:p>
    <w:bookmarkEnd w:id="2"/>
    <w:bookmarkEnd w:id="3"/>
    <w:p>
      <w:pPr>
        <w:numPr>
          <w:ilvl w:val="0"/>
          <w:numId w:val="42"/>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其他费用</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除上述费用外，由受托管理资产承担的费用包括但不限于：</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财产管理、运用或处分过程中发生的税费。</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代理机构手续费、管理费、财务顾问费、保管费。</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审计费、律师费、公证费等费用。</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管理人自行或委托第三方向本理财计划所投资产所涉及相关主体进行追偿所发生的费用（包括但不限于诉讼费、仲裁费、律师费、保全费等全部费用）。</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理财计划的交易费用（包括但不限于交易佣金、相关账户费用等）及投资其他资管产品的费用。</w:t>
      </w:r>
    </w:p>
    <w:p>
      <w:pPr>
        <w:numPr>
          <w:ilvl w:val="0"/>
          <w:numId w:val="4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监管规定的其他费用。</w:t>
      </w:r>
    </w:p>
    <w:p>
      <w:pPr>
        <w:spacing w:line="360" w:lineRule="auto"/>
        <w:ind w:firstLine="482"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税收说明</w:t>
      </w:r>
    </w:p>
    <w:p>
      <w:pPr>
        <w:numPr>
          <w:ilvl w:val="0"/>
          <w:numId w:val="45"/>
        </w:num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5"/>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除法律法规特别要求外，投资者应缴纳的税收由投资者自行缴纳，理财计划管理人不承担代扣代缴或纳税的义务。</w:t>
      </w:r>
    </w:p>
    <w:p>
      <w:pPr>
        <w:numPr>
          <w:ilvl w:val="0"/>
          <w:numId w:val="45"/>
        </w:numPr>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收益计算</w:t>
      </w:r>
    </w:p>
    <w:p>
      <w:pPr>
        <w:numPr>
          <w:ilvl w:val="0"/>
          <w:numId w:val="46"/>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计算公式</w:t>
      </w:r>
    </w:p>
    <w:p>
      <w:pPr>
        <w:spacing w:line="360" w:lineRule="auto"/>
        <w:ind w:firstLine="480" w:firstLineChars="200"/>
        <w:jc w:val="left"/>
        <w:rPr>
          <w:rFonts w:hint="default" w:ascii="宋体" w:hAnsi="宋体" w:eastAsia="宋体" w:cs="宋体"/>
          <w:bCs/>
          <w:color w:val="000000" w:themeColor="text1"/>
          <w:sz w:val="24"/>
          <w:highlight w:val="none"/>
          <w:lang w:val="en-US" w:eastAsia="zh-CN"/>
          <w14:textFill>
            <w14:solidFill>
              <w14:schemeClr w14:val="tx1"/>
            </w14:solidFill>
          </w14:textFill>
        </w:rPr>
      </w:pPr>
      <w:bookmarkStart w:id="4" w:name="OLE_LINK1"/>
      <w:r>
        <w:rPr>
          <w:rFonts w:hint="eastAsia" w:ascii="宋体" w:hAnsi="宋体" w:cs="宋体"/>
          <w:bCs/>
          <w:color w:val="000000" w:themeColor="text1"/>
          <w:sz w:val="24"/>
          <w:highlight w:val="none"/>
          <w14:textFill>
            <w14:solidFill>
              <w14:schemeClr w14:val="tx1"/>
            </w14:solidFill>
          </w14:textFill>
        </w:rPr>
        <w:t>投资者理财收益＝赎回份额×赎回确认日（提前终止日）</w:t>
      </w:r>
      <w:r>
        <w:rPr>
          <w:rFonts w:hint="eastAsia" w:ascii="宋体" w:hAnsi="宋体" w:cs="宋体"/>
          <w:bCs/>
          <w:color w:val="000000" w:themeColor="text1"/>
          <w:sz w:val="24"/>
          <w:highlight w:val="none"/>
          <w:lang w:val="en-US" w:eastAsia="zh-CN"/>
          <w14:textFill>
            <w14:solidFill>
              <w14:schemeClr w14:val="tx1"/>
            </w14:solidFill>
          </w14:textFill>
        </w:rPr>
        <w:t>前一日</w:t>
      </w:r>
      <w:r>
        <w:rPr>
          <w:rFonts w:hint="eastAsia" w:ascii="宋体" w:hAnsi="宋体" w:cs="宋体"/>
          <w:bCs/>
          <w:color w:val="000000" w:themeColor="text1"/>
          <w:sz w:val="24"/>
          <w:highlight w:val="none"/>
          <w14:textFill>
            <w14:solidFill>
              <w14:schemeClr w14:val="tx1"/>
            </w14:solidFill>
          </w14:textFill>
        </w:rPr>
        <w:t>单位净值-认购或申购金额+份额持有期间累计分红（如有）</w:t>
      </w:r>
      <w:r>
        <w:rPr>
          <w:rFonts w:hint="eastAsia" w:ascii="宋体" w:hAnsi="宋体" w:cs="宋体"/>
          <w:bCs/>
          <w:color w:val="000000" w:themeColor="text1"/>
          <w:sz w:val="24"/>
          <w:highlight w:val="none"/>
          <w:lang w:val="en-US" w:eastAsia="zh-CN"/>
          <w14:textFill>
            <w14:solidFill>
              <w14:schemeClr w14:val="tx1"/>
            </w14:solidFill>
          </w14:textFill>
        </w:rPr>
        <w:t>-浮动管理费（如有）</w:t>
      </w:r>
    </w:p>
    <w:bookmarkEnd w:id="4"/>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份额=认购或申购金额</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认购或申购确认日</w:t>
      </w:r>
      <w:r>
        <w:rPr>
          <w:rFonts w:hint="eastAsia" w:ascii="宋体" w:hAnsi="宋体" w:cs="宋体"/>
          <w:bCs/>
          <w:color w:val="000000" w:themeColor="text1"/>
          <w:sz w:val="24"/>
          <w:highlight w:val="none"/>
          <w:lang w:val="en-US" w:eastAsia="zh-CN"/>
          <w14:textFill>
            <w14:solidFill>
              <w14:schemeClr w14:val="tx1"/>
            </w14:solidFill>
          </w14:textFill>
        </w:rPr>
        <w:t>前一日</w:t>
      </w:r>
      <w:r>
        <w:rPr>
          <w:rFonts w:hint="eastAsia" w:ascii="宋体" w:hAnsi="宋体" w:cs="宋体"/>
          <w:bCs/>
          <w:color w:val="000000" w:themeColor="text1"/>
          <w:sz w:val="24"/>
          <w:highlight w:val="none"/>
          <w14:textFill>
            <w14:solidFill>
              <w14:schemeClr w14:val="tx1"/>
            </w14:solidFill>
          </w14:textFill>
        </w:rPr>
        <w:t>单位净值。</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赎回确认日（提前终止日）</w:t>
      </w:r>
      <w:r>
        <w:rPr>
          <w:rFonts w:hint="eastAsia" w:ascii="宋体" w:hAnsi="宋体" w:cs="宋体"/>
          <w:bCs/>
          <w:color w:val="000000" w:themeColor="text1"/>
          <w:sz w:val="24"/>
          <w:highlight w:val="none"/>
          <w:lang w:val="en-US" w:eastAsia="zh-CN"/>
          <w14:textFill>
            <w14:solidFill>
              <w14:schemeClr w14:val="tx1"/>
            </w14:solidFill>
          </w14:textFill>
        </w:rPr>
        <w:t>前一日的</w:t>
      </w:r>
      <w:r>
        <w:rPr>
          <w:rFonts w:hint="eastAsia" w:ascii="宋体" w:hAnsi="宋体" w:cs="宋体"/>
          <w:bCs/>
          <w:color w:val="000000" w:themeColor="text1"/>
          <w:sz w:val="24"/>
          <w:highlight w:val="none"/>
          <w14:textFill>
            <w14:solidFill>
              <w14:schemeClr w14:val="tx1"/>
            </w14:solidFill>
          </w14:textFill>
        </w:rPr>
        <w:t>单位净值为提取相关费用及税费后的单位理财计划份额净值。</w:t>
      </w:r>
    </w:p>
    <w:p>
      <w:pPr>
        <w:numPr>
          <w:ilvl w:val="0"/>
          <w:numId w:val="46"/>
        </w:numPr>
        <w:spacing w:line="360" w:lineRule="auto"/>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示例说明</w:t>
      </w:r>
    </w:p>
    <w:p>
      <w:pPr>
        <w:numPr>
          <w:ilvl w:val="0"/>
          <w:numId w:val="0"/>
        </w:numPr>
        <w:spacing w:line="360" w:lineRule="auto"/>
        <w:ind w:left="420" w:leftChars="0"/>
        <w:jc w:val="left"/>
        <w:outlineLvl w:val="2"/>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以下示例均为假设情况，不构成业绩预测，不代表本理财计划实际投资业绩。</w:t>
      </w:r>
    </w:p>
    <w:p>
      <w:pPr>
        <w:numPr>
          <w:ilvl w:val="0"/>
          <w:numId w:val="47"/>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示例</w:t>
      </w:r>
      <w:r>
        <w:rPr>
          <w:rFonts w:hint="eastAsia" w:ascii="宋体" w:hAnsi="宋体" w:cs="宋体"/>
          <w:b/>
          <w:color w:val="000000" w:themeColor="text1"/>
          <w:sz w:val="24"/>
          <w:highlight w:val="none"/>
          <w:lang w:eastAsia="zh-CN"/>
          <w14:textFill>
            <w14:solidFill>
              <w14:schemeClr w14:val="tx1"/>
            </w14:solidFill>
          </w14:textFill>
        </w:rPr>
        <w:t>一</w:t>
      </w:r>
    </w:p>
    <w:p>
      <w:pPr>
        <w:spacing w:line="360" w:lineRule="auto"/>
        <w:ind w:firstLine="482"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扣除托管费、固定管理费、</w:t>
      </w:r>
      <w:r>
        <w:rPr>
          <w:rFonts w:hint="eastAsia" w:ascii="宋体" w:hAnsi="宋体" w:cs="宋体"/>
          <w:b/>
          <w:color w:val="000000" w:themeColor="text1"/>
          <w:sz w:val="24"/>
          <w:highlight w:val="none"/>
          <w:lang w:eastAsia="zh-CN"/>
          <w14:textFill>
            <w14:solidFill>
              <w14:schemeClr w14:val="tx1"/>
            </w14:solidFill>
          </w14:textFill>
        </w:rPr>
        <w:t>销售服务费</w:t>
      </w:r>
      <w:r>
        <w:rPr>
          <w:rFonts w:hint="eastAsia" w:ascii="宋体" w:hAnsi="宋体" w:cs="宋体"/>
          <w:b/>
          <w:color w:val="000000" w:themeColor="text1"/>
          <w:sz w:val="24"/>
          <w:highlight w:val="none"/>
          <w14:textFill>
            <w14:solidFill>
              <w14:schemeClr w14:val="tx1"/>
            </w14:solidFill>
          </w14:textFill>
        </w:rPr>
        <w:t>（如有）后，投资</w:t>
      </w:r>
      <w:r>
        <w:rPr>
          <w:rFonts w:hint="eastAsia" w:ascii="宋体" w:hAnsi="宋体" w:cs="宋体"/>
          <w:b/>
          <w:color w:val="000000" w:themeColor="text1"/>
          <w:sz w:val="24"/>
          <w:highlight w:val="none"/>
          <w:lang w:val="en-US" w:eastAsia="zh-CN"/>
          <w14:textFill>
            <w14:solidFill>
              <w14:schemeClr w14:val="tx1"/>
            </w14:solidFill>
          </w14:textFill>
        </w:rPr>
        <w:t>产生盈利</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以某投资者投资10万元为例，假设购买时理财计划净值为1.</w:t>
      </w:r>
      <w:r>
        <w:rPr>
          <w:rFonts w:hint="eastAsia" w:ascii="宋体" w:hAnsi="宋体" w:cs="宋体"/>
          <w:bCs/>
          <w:color w:val="000000" w:themeColor="text1"/>
          <w:sz w:val="24"/>
          <w:highlight w:val="none"/>
          <w:lang w:val="en-US" w:eastAsia="zh-CN"/>
          <w14:textFill>
            <w14:solidFill>
              <w14:schemeClr w14:val="tx1"/>
            </w14:solidFill>
          </w14:textFill>
        </w:rPr>
        <w:t>0000</w:t>
      </w:r>
      <w:r>
        <w:rPr>
          <w:rFonts w:hint="eastAsia" w:ascii="宋体" w:hAnsi="宋体" w:cs="宋体"/>
          <w:bCs/>
          <w:color w:val="000000" w:themeColor="text1"/>
          <w:sz w:val="24"/>
          <w:highlight w:val="none"/>
          <w14:textFill>
            <w14:solidFill>
              <w14:schemeClr w14:val="tx1"/>
            </w14:solidFill>
          </w14:textFill>
        </w:rPr>
        <w:t>00元，折算份额为100,000.00份，假设投资理财计划362天。到期时扣除托管费、固定管理费、</w:t>
      </w:r>
      <w:r>
        <w:rPr>
          <w:rFonts w:hint="eastAsia" w:ascii="宋体" w:hAnsi="宋体" w:cs="宋体"/>
          <w:bCs/>
          <w:color w:val="000000" w:themeColor="text1"/>
          <w:sz w:val="24"/>
          <w:highlight w:val="none"/>
          <w:lang w:eastAsia="zh-CN"/>
          <w14:textFill>
            <w14:solidFill>
              <w14:schemeClr w14:val="tx1"/>
            </w14:solidFill>
          </w14:textFill>
        </w:rPr>
        <w:t>销售服务费</w:t>
      </w:r>
      <w:r>
        <w:rPr>
          <w:rFonts w:hint="eastAsia" w:ascii="宋体" w:hAnsi="宋体" w:cs="宋体"/>
          <w:bCs/>
          <w:color w:val="000000" w:themeColor="text1"/>
          <w:sz w:val="24"/>
          <w:highlight w:val="none"/>
          <w14:textFill>
            <w14:solidFill>
              <w14:schemeClr w14:val="tx1"/>
            </w14:solidFill>
          </w14:textFill>
        </w:rPr>
        <w:t>（如有）后，如理财计划净值为1.0426</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期间无分红，</w:t>
      </w:r>
      <w:r>
        <w:rPr>
          <w:rFonts w:hint="eastAsia" w:ascii="宋体" w:hAnsi="宋体" w:cs="宋体"/>
          <w:bCs/>
          <w:color w:val="000000" w:themeColor="text1"/>
          <w:sz w:val="24"/>
          <w:highlight w:val="none"/>
          <w14:textFill>
            <w14:solidFill>
              <w14:schemeClr w14:val="tx1"/>
            </w14:solidFill>
          </w14:textFill>
        </w:rPr>
        <w:t>此时，(1.0426</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÷1.00</w:t>
      </w:r>
      <w:r>
        <w:rPr>
          <w:rFonts w:hint="eastAsia" w:ascii="宋体" w:hAnsi="宋体" w:cs="宋体"/>
          <w:bCs/>
          <w:color w:val="000000" w:themeColor="text1"/>
          <w:sz w:val="24"/>
          <w:highlight w:val="none"/>
          <w:lang w:val="en-US" w:eastAsia="zh-CN"/>
          <w14:textFill>
            <w14:solidFill>
              <w14:schemeClr w14:val="tx1"/>
            </w14:solidFill>
          </w14:textFill>
        </w:rPr>
        <w:t>0000</w:t>
      </w:r>
      <w:r>
        <w:rPr>
          <w:rFonts w:hint="eastAsia" w:ascii="宋体" w:hAnsi="宋体" w:cs="宋体"/>
          <w:bCs/>
          <w:color w:val="000000" w:themeColor="text1"/>
          <w:sz w:val="24"/>
          <w:highlight w:val="none"/>
          <w14:textFill>
            <w14:solidFill>
              <w14:schemeClr w14:val="tx1"/>
            </w14:solidFill>
          </w14:textFill>
        </w:rPr>
        <w:t>-1)×365÷362=4.30%，即投资</w:t>
      </w:r>
      <w:r>
        <w:rPr>
          <w:rFonts w:hint="eastAsia" w:ascii="宋体" w:hAnsi="宋体" w:cs="宋体"/>
          <w:bCs/>
          <w:color w:val="000000" w:themeColor="text1"/>
          <w:sz w:val="24"/>
          <w:highlight w:val="none"/>
          <w:lang w:val="en-US" w:eastAsia="zh-CN"/>
          <w14:textFill>
            <w14:solidFill>
              <w14:schemeClr w14:val="tx1"/>
            </w14:solidFill>
          </w14:textFill>
        </w:rPr>
        <w:t>收益达到年化4.30%</w:t>
      </w:r>
      <w:r>
        <w:rPr>
          <w:rFonts w:hint="eastAsia" w:ascii="宋体" w:hAnsi="宋体" w:cs="宋体"/>
          <w:bCs/>
          <w:color w:val="000000" w:themeColor="text1"/>
          <w:sz w:val="24"/>
          <w:highlight w:val="none"/>
          <w14:textFill>
            <w14:solidFill>
              <w14:schemeClr w14:val="tx1"/>
            </w14:solidFill>
          </w14:textFill>
        </w:rPr>
        <w:t>，投资者最终收益为：100,000.00×(1.0426</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-1.00</w:t>
      </w:r>
      <w:r>
        <w:rPr>
          <w:rFonts w:hint="eastAsia" w:ascii="宋体" w:hAnsi="宋体" w:cs="宋体"/>
          <w:bCs/>
          <w:color w:val="000000" w:themeColor="text1"/>
          <w:sz w:val="24"/>
          <w:highlight w:val="none"/>
          <w:lang w:val="en-US" w:eastAsia="zh-CN"/>
          <w14:textFill>
            <w14:solidFill>
              <w14:schemeClr w14:val="tx1"/>
            </w14:solidFill>
          </w14:textFill>
        </w:rPr>
        <w:t>0000</w:t>
      </w:r>
      <w:r>
        <w:rPr>
          <w:rFonts w:hint="eastAsia" w:ascii="宋体" w:hAnsi="宋体" w:cs="宋体"/>
          <w:bCs/>
          <w:color w:val="000000" w:themeColor="text1"/>
          <w:sz w:val="24"/>
          <w:highlight w:val="none"/>
          <w14:textFill>
            <w14:solidFill>
              <w14:schemeClr w14:val="tx1"/>
            </w14:solidFill>
          </w14:textFill>
        </w:rPr>
        <w:t>）=4,260.00（元）</w:t>
      </w:r>
    </w:p>
    <w:p>
      <w:pPr>
        <w:numPr>
          <w:ilvl w:val="0"/>
          <w:numId w:val="47"/>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示例</w:t>
      </w:r>
      <w:r>
        <w:rPr>
          <w:rFonts w:hint="eastAsia" w:ascii="宋体" w:hAnsi="宋体" w:cs="宋体"/>
          <w:b/>
          <w:color w:val="000000" w:themeColor="text1"/>
          <w:sz w:val="24"/>
          <w:highlight w:val="none"/>
          <w:lang w:val="en-US" w:eastAsia="zh-CN"/>
          <w14:textFill>
            <w14:solidFill>
              <w14:schemeClr w14:val="tx1"/>
            </w14:solidFill>
          </w14:textFill>
        </w:rPr>
        <w:t>二</w:t>
      </w:r>
    </w:p>
    <w:p>
      <w:p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扣除托管费、固定管理费、</w:t>
      </w:r>
      <w:r>
        <w:rPr>
          <w:rFonts w:hint="eastAsia" w:ascii="宋体" w:hAnsi="宋体" w:cs="宋体"/>
          <w:b/>
          <w:color w:val="000000" w:themeColor="text1"/>
          <w:sz w:val="24"/>
          <w:highlight w:val="none"/>
          <w:lang w:eastAsia="zh-CN"/>
          <w14:textFill>
            <w14:solidFill>
              <w14:schemeClr w14:val="tx1"/>
            </w14:solidFill>
          </w14:textFill>
        </w:rPr>
        <w:t>销售服务费</w:t>
      </w:r>
      <w:r>
        <w:rPr>
          <w:rFonts w:hint="eastAsia" w:ascii="宋体" w:hAnsi="宋体" w:cs="宋体"/>
          <w:b/>
          <w:color w:val="000000" w:themeColor="text1"/>
          <w:sz w:val="24"/>
          <w:highlight w:val="none"/>
          <w14:textFill>
            <w14:solidFill>
              <w14:schemeClr w14:val="tx1"/>
            </w14:solidFill>
          </w14:textFill>
        </w:rPr>
        <w:t>（如有）后，投资发生亏损。</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以某投资者投资10万元为例，假设购买时理财计划净值为1.</w:t>
      </w:r>
      <w:r>
        <w:rPr>
          <w:rFonts w:hint="eastAsia" w:ascii="宋体" w:hAnsi="宋体" w:cs="宋体"/>
          <w:bCs/>
          <w:color w:val="000000" w:themeColor="text1"/>
          <w:sz w:val="24"/>
          <w:highlight w:val="none"/>
          <w:lang w:val="en-US" w:eastAsia="zh-CN"/>
          <w14:textFill>
            <w14:solidFill>
              <w14:schemeClr w14:val="tx1"/>
            </w14:solidFill>
          </w14:textFill>
        </w:rPr>
        <w:t>0000</w:t>
      </w:r>
      <w:r>
        <w:rPr>
          <w:rFonts w:hint="eastAsia" w:ascii="宋体" w:hAnsi="宋体" w:cs="宋体"/>
          <w:bCs/>
          <w:color w:val="000000" w:themeColor="text1"/>
          <w:sz w:val="24"/>
          <w:highlight w:val="none"/>
          <w14:textFill>
            <w14:solidFill>
              <w14:schemeClr w14:val="tx1"/>
            </w14:solidFill>
          </w14:textFill>
        </w:rPr>
        <w:t>00元，折算份额为100,000.00份，假设投资理财计划362天。到期时扣除托管费、固定管理费、</w:t>
      </w:r>
      <w:r>
        <w:rPr>
          <w:rFonts w:hint="eastAsia" w:ascii="宋体" w:hAnsi="宋体" w:cs="宋体"/>
          <w:bCs/>
          <w:color w:val="000000" w:themeColor="text1"/>
          <w:sz w:val="24"/>
          <w:highlight w:val="none"/>
          <w:lang w:eastAsia="zh-CN"/>
          <w14:textFill>
            <w14:solidFill>
              <w14:schemeClr w14:val="tx1"/>
            </w14:solidFill>
          </w14:textFill>
        </w:rPr>
        <w:t>销售服务费</w:t>
      </w:r>
      <w:r>
        <w:rPr>
          <w:rFonts w:hint="eastAsia" w:ascii="宋体" w:hAnsi="宋体" w:cs="宋体"/>
          <w:bCs/>
          <w:color w:val="000000" w:themeColor="text1"/>
          <w:sz w:val="24"/>
          <w:highlight w:val="none"/>
          <w14:textFill>
            <w14:solidFill>
              <w14:schemeClr w14:val="tx1"/>
            </w14:solidFill>
          </w14:textFill>
        </w:rPr>
        <w:t>（如有）后，如理财计划净值为0.9975</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期间无分红，</w:t>
      </w:r>
      <w:r>
        <w:rPr>
          <w:rFonts w:hint="eastAsia" w:ascii="宋体" w:hAnsi="宋体" w:cs="宋体"/>
          <w:bCs/>
          <w:color w:val="000000" w:themeColor="text1"/>
          <w:sz w:val="24"/>
          <w:highlight w:val="none"/>
          <w14:textFill>
            <w14:solidFill>
              <w14:schemeClr w14:val="tx1"/>
            </w14:solidFill>
          </w14:textFill>
        </w:rPr>
        <w:t>投资者最终收益为：100,000.00×（0.9975</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0000</w:t>
      </w:r>
      <w:r>
        <w:rPr>
          <w:rFonts w:hint="eastAsia" w:ascii="宋体" w:hAnsi="宋体" w:cs="宋体"/>
          <w:bCs/>
          <w:color w:val="000000" w:themeColor="text1"/>
          <w:sz w:val="24"/>
          <w:highlight w:val="none"/>
          <w14:textFill>
            <w14:solidFill>
              <w14:schemeClr w14:val="tx1"/>
            </w14:solidFill>
          </w14:textFill>
        </w:rPr>
        <w:t>00）=-250.00（元）。</w:t>
      </w:r>
    </w:p>
    <w:p>
      <w:pPr>
        <w:numPr>
          <w:ilvl w:val="0"/>
          <w:numId w:val="46"/>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最不利情况分析</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由于市场波动导致投资资产贬值或者投资资产发生信用风险导致相应损失，使理财计划</w:t>
      </w:r>
      <w:r>
        <w:rPr>
          <w:rFonts w:hint="eastAsia" w:ascii="宋体" w:hAnsi="宋体" w:cs="宋体"/>
          <w:bCs/>
          <w:color w:val="000000" w:themeColor="text1"/>
          <w:sz w:val="24"/>
          <w:highlight w:val="none"/>
          <w:lang w:eastAsia="zh-CN"/>
          <w14:textFill>
            <w14:solidFill>
              <w14:schemeClr w14:val="tx1"/>
            </w14:solidFill>
          </w14:textFill>
        </w:rPr>
        <w:t>赎回或</w:t>
      </w:r>
      <w:r>
        <w:rPr>
          <w:rFonts w:hint="eastAsia" w:ascii="宋体" w:hAnsi="宋体" w:cs="宋体"/>
          <w:bCs/>
          <w:color w:val="000000" w:themeColor="text1"/>
          <w:sz w:val="24"/>
          <w:highlight w:val="none"/>
          <w14:textFill>
            <w14:solidFill>
              <w14:schemeClr w14:val="tx1"/>
            </w14:solidFill>
          </w14:textFill>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交易规则</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认购</w:t>
      </w:r>
    </w:p>
    <w:p>
      <w:pPr>
        <w:numPr>
          <w:ilvl w:val="0"/>
          <w:numId w:val="49"/>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themeColor="text1"/>
          <w:sz w:val="24"/>
          <w:highlight w:val="none"/>
          <w:lang w:eastAsia="zh-CN"/>
          <w14:textFill>
            <w14:solidFill>
              <w14:schemeClr w14:val="tx1"/>
            </w14:solidFill>
          </w14:textFill>
        </w:rPr>
        <w:t>（具体以销售机构要求为准）</w:t>
      </w:r>
    </w:p>
    <w:p>
      <w:pPr>
        <w:numPr>
          <w:ilvl w:val="0"/>
          <w:numId w:val="49"/>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如新增认</w:t>
      </w:r>
      <w:r>
        <w:rPr>
          <w:rFonts w:hint="eastAsia" w:ascii="宋体" w:hAnsi="宋体" w:cs="宋体"/>
          <w:bCs/>
          <w:color w:val="000000" w:themeColor="text1"/>
          <w:sz w:val="24"/>
          <w:highlight w:val="none"/>
          <w:lang w:val="en-US" w:eastAsia="zh-CN"/>
          <w14:textFill>
            <w14:solidFill>
              <w14:schemeClr w14:val="tx1"/>
            </w14:solidFill>
          </w14:textFill>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成立</w:t>
      </w:r>
    </w:p>
    <w:p>
      <w:pPr>
        <w:numPr>
          <w:ilvl w:val="0"/>
          <w:numId w:val="50"/>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管理人将在理财计划成立日对认购期的认购及追加申请进行确认和划款。</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申购及赎回</w:t>
      </w:r>
    </w:p>
    <w:p>
      <w:pPr>
        <w:numPr>
          <w:ilvl w:val="0"/>
          <w:numId w:val="5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交易确认及时间</w:t>
      </w:r>
    </w:p>
    <w:p>
      <w:pPr>
        <w:numPr>
          <w:ilvl w:val="0"/>
          <w:numId w:val="52"/>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本理财计划在每个开放期的开放日工作时间可进行申购，申购申请将在申购确认日进行确认，即申购开放期后的第〖1〗个</w:t>
      </w:r>
      <w:r>
        <w:rPr>
          <w:rFonts w:hint="eastAsia" w:ascii="宋体" w:hAnsi="宋体" w:cs="宋体"/>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进行确认。</w:t>
      </w:r>
    </w:p>
    <w:p>
      <w:pPr>
        <w:numPr>
          <w:ilvl w:val="0"/>
          <w:numId w:val="52"/>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满足最低持有期后，</w:t>
      </w:r>
      <w:r>
        <w:rPr>
          <w:rFonts w:hint="eastAsia" w:ascii="宋体" w:hAnsi="宋体" w:cs="宋体"/>
          <w:bCs/>
          <w:color w:val="000000" w:themeColor="text1"/>
          <w:sz w:val="24"/>
          <w:highlight w:val="none"/>
          <w14:textFill>
            <w14:solidFill>
              <w14:schemeClr w14:val="tx1"/>
            </w14:solidFill>
          </w14:textFill>
        </w:rPr>
        <w:t>本理财计划在每个开放期的开放日工作时间可进行赎回，赎回申请将在赎回确认日进行确认，即赎回开放期后的第〖1〗个</w:t>
      </w:r>
      <w:r>
        <w:rPr>
          <w:rFonts w:hint="eastAsia" w:ascii="宋体" w:hAnsi="宋体" w:cs="宋体"/>
          <w:b w:val="0"/>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进行确认。</w:t>
      </w:r>
    </w:p>
    <w:p>
      <w:pPr>
        <w:numPr>
          <w:ilvl w:val="0"/>
          <w:numId w:val="52"/>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工作时间为每个</w:t>
      </w:r>
      <w:r>
        <w:rPr>
          <w:rFonts w:hint="eastAsia" w:ascii="宋体" w:hAnsi="宋体" w:cs="宋体"/>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上午〖9:00〗至下午〖17:00〗。</w:t>
      </w:r>
      <w:r>
        <w:rPr>
          <w:rFonts w:hint="eastAsia" w:ascii="宋体" w:hAnsi="宋体" w:cs="宋体"/>
          <w:color w:val="000000" w:themeColor="text1"/>
          <w:kern w:val="0"/>
          <w:sz w:val="24"/>
          <w:szCs w:val="24"/>
          <w:highlight w:val="none"/>
          <w14:textFill>
            <w14:solidFill>
              <w14:schemeClr w14:val="tx1"/>
            </w14:solidFill>
          </w14:textFill>
        </w:rPr>
        <w:t>（具体以销售机构规定为准）</w:t>
      </w:r>
    </w:p>
    <w:p>
      <w:pPr>
        <w:numPr>
          <w:ilvl w:val="0"/>
          <w:numId w:val="52"/>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如新增申</w:t>
      </w:r>
      <w:r>
        <w:rPr>
          <w:rFonts w:hint="eastAsia" w:ascii="宋体" w:hAnsi="宋体" w:cs="宋体"/>
          <w:bCs/>
          <w:color w:val="000000" w:themeColor="text1"/>
          <w:sz w:val="24"/>
          <w:highlight w:val="none"/>
          <w:lang w:val="en-US" w:eastAsia="zh-CN"/>
          <w14:textFill>
            <w14:solidFill>
              <w14:schemeClr w14:val="tx1"/>
            </w14:solidFill>
          </w14:textFill>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到账时间</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赎回资金确认后，最快</w:t>
      </w:r>
      <w:r>
        <w:rPr>
          <w:rFonts w:hint="eastAsia" w:ascii="宋体" w:hAnsi="宋体" w:cs="宋体"/>
          <w:bCs/>
          <w:color w:val="000000" w:themeColor="text1"/>
          <w:sz w:val="24"/>
          <w:highlight w:val="none"/>
          <w:lang w:val="en-US" w:eastAsia="zh-CN"/>
          <w14:textFill>
            <w14:solidFill>
              <w14:schemeClr w14:val="tx1"/>
            </w14:solidFill>
          </w14:textFill>
        </w:rPr>
        <w:t>确认日当日</w:t>
      </w:r>
      <w:r>
        <w:rPr>
          <w:rFonts w:hint="eastAsia" w:ascii="宋体" w:hAnsi="宋体" w:cs="宋体"/>
          <w:bCs/>
          <w:color w:val="000000" w:themeColor="text1"/>
          <w:sz w:val="24"/>
          <w:highlight w:val="none"/>
          <w14:textFill>
            <w14:solidFill>
              <w14:schemeClr w14:val="tx1"/>
            </w14:solidFill>
          </w14:textFill>
        </w:rPr>
        <w:t>，最晚〖</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〗个</w:t>
      </w:r>
      <w:r>
        <w:rPr>
          <w:rFonts w:hint="eastAsia" w:ascii="宋体" w:hAnsi="宋体" w:cs="宋体"/>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内（遇节假日顺延）支付。如遇资金在途或法定工作日调整，实际资金到账日以公告为准。</w:t>
      </w:r>
      <w:r>
        <w:rPr>
          <w:rFonts w:hint="eastAsia" w:ascii="宋体" w:hAnsi="宋体" w:cs="宋体"/>
          <w:color w:val="000000" w:themeColor="text1"/>
          <w:kern w:val="0"/>
          <w:sz w:val="24"/>
          <w:szCs w:val="24"/>
          <w:highlight w:val="none"/>
          <w14:textFill>
            <w14:solidFill>
              <w14:schemeClr w14:val="tx1"/>
            </w14:solidFill>
          </w14:textFill>
        </w:rPr>
        <w:t>（具体以销售机构规定为准）</w:t>
      </w:r>
    </w:p>
    <w:p>
      <w:pPr>
        <w:numPr>
          <w:ilvl w:val="0"/>
          <w:numId w:val="5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巨额赎回处理</w:t>
      </w:r>
    </w:p>
    <w:p>
      <w:pPr>
        <w:numPr>
          <w:ilvl w:val="0"/>
          <w:numId w:val="53"/>
        </w:num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巨额赎回认定</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理财计划存续期内，若理财计划开放日净赎回申请份额超过上一日日终理财计划总份额〖10%〗时，即构成巨额赎回。</w:t>
      </w:r>
    </w:p>
    <w:p>
      <w:pPr>
        <w:numPr>
          <w:ilvl w:val="0"/>
          <w:numId w:val="5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当出现巨额赎回时，管理人可以根据资产组合状况决定采取全额赎回或拒绝超出部分的赎回申请。</w:t>
      </w:r>
      <w:r>
        <w:rPr>
          <w:rFonts w:hint="eastAsia" w:ascii="宋体" w:hAnsi="宋体" w:cs="宋体"/>
          <w:bCs/>
          <w:color w:val="000000" w:themeColor="text1"/>
          <w:sz w:val="24"/>
          <w:highlight w:val="none"/>
          <w:lang w:val="en-US" w:eastAsia="zh-CN"/>
          <w14:textFill>
            <w14:solidFill>
              <w14:schemeClr w14:val="tx1"/>
            </w14:solidFill>
          </w14:textFill>
        </w:rPr>
        <w:t>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全部赎回</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拒绝超出部分的赎回申请</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在</w:t>
      </w:r>
      <w:r>
        <w:rPr>
          <w:rFonts w:hint="eastAsia" w:ascii="宋体" w:hAnsi="宋体" w:cs="宋体"/>
          <w:bCs/>
          <w:color w:val="000000" w:themeColor="text1"/>
          <w:sz w:val="24"/>
          <w:highlight w:val="none"/>
          <w14:textFill>
            <w14:solidFill>
              <w14:schemeClr w14:val="tx1"/>
            </w14:solidFill>
          </w14:textFill>
        </w:rPr>
        <w:t>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暂停申购、赎回及延期支付赎回的情形</w:t>
      </w:r>
    </w:p>
    <w:p>
      <w:pPr>
        <w:spacing w:line="360" w:lineRule="auto"/>
        <w:ind w:firstLine="480" w:firstLineChars="20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w:t>
      </w:r>
      <w:r>
        <w:rPr>
          <w:rFonts w:hint="eastAsia" w:ascii="宋体" w:hAnsi="宋体" w:cs="宋体"/>
          <w:bCs/>
          <w:color w:val="000000" w:themeColor="text1"/>
          <w:sz w:val="24"/>
          <w:highlight w:val="none"/>
          <w:lang w:val="en-US" w:eastAsia="zh-CN"/>
          <w14:textFill>
            <w14:solidFill>
              <w14:schemeClr w14:val="tx1"/>
            </w14:solidFill>
          </w14:textFill>
        </w:rPr>
        <w:t>资产规模过大，继续接受申购可能对理财计划业绩产生负面影响，从而损害现有份额持有人利益的情形时</w:t>
      </w:r>
      <w:r>
        <w:rPr>
          <w:rFonts w:hint="eastAsia" w:ascii="宋体" w:hAnsi="宋体" w:cs="宋体"/>
          <w:bCs/>
          <w:color w:val="000000" w:themeColor="text1"/>
          <w:sz w:val="24"/>
          <w:highlight w:val="none"/>
          <w14:textFill>
            <w14:solidFill>
              <w14:schemeClr w14:val="tx1"/>
            </w14:solidFill>
          </w14:textFill>
        </w:rPr>
        <w:t>。</w:t>
      </w:r>
    </w:p>
    <w:p>
      <w:pPr>
        <w:numPr>
          <w:ilvl w:val="0"/>
          <w:numId w:val="54"/>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当</w:t>
      </w:r>
      <w:r>
        <w:rPr>
          <w:rFonts w:hint="eastAsia" w:ascii="宋体" w:hAnsi="宋体" w:cs="宋体"/>
          <w:bCs/>
          <w:color w:val="000000" w:themeColor="text1"/>
          <w:sz w:val="24"/>
          <w:highlight w:val="none"/>
          <w:lang w:val="en-US" w:eastAsia="zh-CN"/>
          <w14:textFill>
            <w14:solidFill>
              <w14:schemeClr w14:val="tx1"/>
            </w14:solidFill>
          </w14:textFill>
        </w:rPr>
        <w:t>管理人认为某笔申购申请会有损于其他份额持有人利益的情形时。</w:t>
      </w:r>
    </w:p>
    <w:p>
      <w:pPr>
        <w:numPr>
          <w:ilvl w:val="0"/>
          <w:numId w:val="54"/>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发生产品说明书约定的暂停估值的情形时。</w:t>
      </w:r>
    </w:p>
    <w:p>
      <w:pPr>
        <w:numPr>
          <w:ilvl w:val="0"/>
          <w:numId w:val="54"/>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法律</w:t>
      </w:r>
      <w:r>
        <w:rPr>
          <w:rFonts w:hint="eastAsia" w:ascii="宋体" w:hAnsi="宋体" w:cs="宋体"/>
          <w:bCs/>
          <w:color w:val="000000" w:themeColor="text1"/>
          <w:sz w:val="24"/>
          <w:highlight w:val="none"/>
          <w:lang w:val="en-US" w:eastAsia="zh-CN"/>
          <w14:textFill>
            <w14:solidFill>
              <w14:schemeClr w14:val="tx1"/>
            </w14:solidFill>
          </w14:textFill>
        </w:rPr>
        <w:t>法规规定或监管机构认定的其他情形。</w:t>
      </w:r>
    </w:p>
    <w:p>
      <w:pPr>
        <w:spacing w:line="360" w:lineRule="auto"/>
        <w:ind w:firstLine="480" w:firstLineChars="20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理财计划发生巨额赎回情形时。</w:t>
      </w:r>
    </w:p>
    <w:p>
      <w:pPr>
        <w:numPr>
          <w:ilvl w:val="0"/>
          <w:numId w:val="5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当继续</w:t>
      </w:r>
      <w:r>
        <w:rPr>
          <w:rFonts w:hint="default" w:ascii="宋体" w:hAnsi="宋体" w:cs="宋体"/>
          <w:bCs/>
          <w:color w:val="000000" w:themeColor="text1"/>
          <w:sz w:val="24"/>
          <w:highlight w:val="none"/>
          <w:lang w:val="en-US" w:eastAsia="zh-CN"/>
          <w14:textFill>
            <w14:solidFill>
              <w14:schemeClr w14:val="tx1"/>
            </w14:solidFill>
          </w14:textFill>
        </w:rPr>
        <w:t>接受赎回申请将损害存量投资者利益的情形</w:t>
      </w:r>
      <w:r>
        <w:rPr>
          <w:rFonts w:hint="eastAsia" w:ascii="宋体" w:hAnsi="宋体" w:cs="宋体"/>
          <w:bCs/>
          <w:color w:val="000000" w:themeColor="text1"/>
          <w:sz w:val="24"/>
          <w:highlight w:val="none"/>
          <w:lang w:val="en-US" w:eastAsia="zh-CN"/>
          <w14:textFill>
            <w14:solidFill>
              <w14:schemeClr w14:val="tx1"/>
            </w14:solidFill>
          </w14:textFill>
        </w:rPr>
        <w:t>时。</w:t>
      </w:r>
    </w:p>
    <w:p>
      <w:pPr>
        <w:numPr>
          <w:ilvl w:val="0"/>
          <w:numId w:val="5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当</w:t>
      </w:r>
      <w:r>
        <w:rPr>
          <w:rFonts w:hint="default" w:ascii="宋体" w:hAnsi="宋体" w:cs="宋体"/>
          <w:bCs/>
          <w:color w:val="000000" w:themeColor="text1"/>
          <w:sz w:val="24"/>
          <w:highlight w:val="none"/>
          <w:lang w:val="en-US" w:eastAsia="zh-CN"/>
          <w14:textFill>
            <w14:solidFill>
              <w14:schemeClr w14:val="tx1"/>
            </w14:solidFill>
          </w14:textFill>
        </w:rPr>
        <w:t>前一估值日</w:t>
      </w:r>
      <w:r>
        <w:rPr>
          <w:rFonts w:hint="eastAsia" w:ascii="宋体" w:hAnsi="宋体" w:cs="宋体"/>
          <w:bCs/>
          <w:color w:val="000000" w:themeColor="text1"/>
          <w:sz w:val="24"/>
          <w:highlight w:val="none"/>
          <w:lang w:val="en-US" w:eastAsia="zh-CN"/>
          <w14:textFill>
            <w14:solidFill>
              <w14:schemeClr w14:val="tx1"/>
            </w14:solidFill>
          </w14:textFill>
        </w:rPr>
        <w:t>理财计划</w:t>
      </w:r>
      <w:r>
        <w:rPr>
          <w:rFonts w:hint="default" w:ascii="宋体" w:hAnsi="宋体" w:cs="宋体"/>
          <w:bCs/>
          <w:color w:val="000000" w:themeColor="text1"/>
          <w:sz w:val="24"/>
          <w:highlight w:val="none"/>
          <w:lang w:val="en-US" w:eastAsia="zh-CN"/>
          <w14:textFill>
            <w14:solidFill>
              <w14:schemeClr w14:val="tx1"/>
            </w14:solidFill>
          </w14:textFill>
        </w:rPr>
        <w:t>资产净值50%以上的资产不具备活跃交易市场或者在活跃市场中无报价，且不能采用估值技术可靠计量公允价值</w:t>
      </w:r>
      <w:r>
        <w:rPr>
          <w:rFonts w:hint="eastAsia" w:ascii="宋体" w:hAnsi="宋体" w:cs="宋体"/>
          <w:bCs/>
          <w:color w:val="000000" w:themeColor="text1"/>
          <w:sz w:val="24"/>
          <w:highlight w:val="none"/>
          <w:lang w:val="en-US" w:eastAsia="zh-CN"/>
          <w14:textFill>
            <w14:solidFill>
              <w14:schemeClr w14:val="tx1"/>
            </w14:solidFill>
          </w14:textFill>
        </w:rPr>
        <w:t>的情形</w:t>
      </w:r>
      <w:r>
        <w:rPr>
          <w:rFonts w:hint="default" w:ascii="宋体" w:hAnsi="宋体" w:cs="宋体"/>
          <w:bCs/>
          <w:color w:val="000000" w:themeColor="text1"/>
          <w:sz w:val="24"/>
          <w:highlight w:val="none"/>
          <w:lang w:val="en-US" w:eastAsia="zh-CN"/>
          <w14:textFill>
            <w14:solidFill>
              <w14:schemeClr w14:val="tx1"/>
            </w14:solidFill>
          </w14:textFill>
        </w:rPr>
        <w:t>时</w:t>
      </w:r>
      <w:r>
        <w:rPr>
          <w:rFonts w:hint="eastAsia" w:ascii="宋体" w:hAnsi="宋体" w:cs="宋体"/>
          <w:bCs/>
          <w:color w:val="000000" w:themeColor="text1"/>
          <w:sz w:val="24"/>
          <w:highlight w:val="none"/>
          <w:lang w:val="en-US" w:eastAsia="zh-CN"/>
          <w14:textFill>
            <w14:solidFill>
              <w14:schemeClr w14:val="tx1"/>
            </w14:solidFill>
          </w14:textFill>
        </w:rPr>
        <w:t>。</w:t>
      </w:r>
    </w:p>
    <w:p>
      <w:pPr>
        <w:numPr>
          <w:ilvl w:val="0"/>
          <w:numId w:val="5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发生</w:t>
      </w:r>
      <w:r>
        <w:rPr>
          <w:rFonts w:hint="eastAsia" w:ascii="宋体" w:hAnsi="宋体" w:cs="宋体"/>
          <w:bCs/>
          <w:color w:val="000000" w:themeColor="text1"/>
          <w:sz w:val="24"/>
          <w:highlight w:val="none"/>
          <w:lang w:eastAsia="zh-CN"/>
          <w14:textFill>
            <w14:solidFill>
              <w14:schemeClr w14:val="tx1"/>
            </w14:solidFill>
          </w14:textFill>
        </w:rPr>
        <w:t>产品说明书约定的暂停估值的情形时。</w:t>
      </w:r>
    </w:p>
    <w:p>
      <w:pPr>
        <w:numPr>
          <w:ilvl w:val="0"/>
          <w:numId w:val="55"/>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法律</w:t>
      </w:r>
      <w:r>
        <w:rPr>
          <w:rFonts w:hint="eastAsia" w:ascii="宋体" w:hAnsi="宋体" w:cs="宋体"/>
          <w:bCs/>
          <w:color w:val="000000" w:themeColor="text1"/>
          <w:sz w:val="24"/>
          <w:highlight w:val="none"/>
          <w:lang w:val="en-US" w:eastAsia="zh-CN"/>
          <w14:textFill>
            <w14:solidFill>
              <w14:schemeClr w14:val="tx1"/>
            </w14:solidFill>
          </w14:textFill>
        </w:rPr>
        <w:t>法规规定或监管机构认定的其他情形。</w:t>
      </w:r>
    </w:p>
    <w:p>
      <w:pPr>
        <w:spacing w:line="360" w:lineRule="auto"/>
        <w:ind w:firstLine="480" w:firstLineChars="200"/>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因</w:t>
      </w:r>
      <w:r>
        <w:rPr>
          <w:rFonts w:hint="eastAsia" w:ascii="宋体" w:hAnsi="宋体" w:cs="宋体"/>
          <w:bCs/>
          <w:color w:val="000000" w:themeColor="text1"/>
          <w:sz w:val="24"/>
          <w:highlight w:val="none"/>
          <w:lang w:val="en-US" w:eastAsia="zh-CN"/>
          <w14:textFill>
            <w14:solidFill>
              <w14:schemeClr w14:val="tx1"/>
            </w14:solidFill>
          </w14:textFill>
        </w:rPr>
        <w:t>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连续</w:t>
      </w:r>
      <w:r>
        <w:rPr>
          <w:rFonts w:hint="default"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lang w:val="en-US" w:eastAsia="zh-CN"/>
          <w14:textFill>
            <w14:solidFill>
              <w14:schemeClr w14:val="tx1"/>
            </w14:solidFill>
          </w14:textFill>
        </w:rPr>
        <w:t>日</w:t>
      </w:r>
      <w:r>
        <w:rPr>
          <w:rFonts w:hint="default" w:ascii="宋体" w:hAnsi="宋体" w:cs="宋体"/>
          <w:bCs/>
          <w:color w:val="000000" w:themeColor="text1"/>
          <w:sz w:val="24"/>
          <w:highlight w:val="none"/>
          <w:lang w:val="en-US" w:eastAsia="zh-CN"/>
          <w14:textFill>
            <w14:solidFill>
              <w14:schemeClr w14:val="tx1"/>
            </w14:solidFill>
          </w14:textFill>
        </w:rPr>
        <w:t>（含）以上开放日发生巨额赎回的</w:t>
      </w:r>
      <w:r>
        <w:rPr>
          <w:rFonts w:hint="eastAsia" w:ascii="宋体" w:hAnsi="宋体" w:cs="宋体"/>
          <w:bCs/>
          <w:color w:val="000000" w:themeColor="text1"/>
          <w:sz w:val="24"/>
          <w:highlight w:val="none"/>
          <w:lang w:val="en-US" w:eastAsia="zh-CN"/>
          <w14:textFill>
            <w14:solidFill>
              <w14:schemeClr w14:val="tx1"/>
            </w14:solidFill>
          </w14:textFill>
        </w:rPr>
        <w:t>情形时。</w:t>
      </w:r>
    </w:p>
    <w:p>
      <w:pPr>
        <w:numPr>
          <w:ilvl w:val="0"/>
          <w:numId w:val="56"/>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当前</w:t>
      </w:r>
      <w:r>
        <w:rPr>
          <w:rFonts w:hint="default" w:ascii="宋体" w:hAnsi="宋体" w:cs="宋体"/>
          <w:bCs/>
          <w:color w:val="000000" w:themeColor="text1"/>
          <w:sz w:val="24"/>
          <w:highlight w:val="none"/>
          <w:lang w:val="en-US" w:eastAsia="zh-CN"/>
          <w14:textFill>
            <w14:solidFill>
              <w14:schemeClr w14:val="tx1"/>
            </w14:solidFill>
          </w14:textFill>
        </w:rPr>
        <w:t>一估值日</w:t>
      </w:r>
      <w:r>
        <w:rPr>
          <w:rFonts w:hint="eastAsia" w:ascii="宋体" w:hAnsi="宋体" w:cs="宋体"/>
          <w:bCs/>
          <w:color w:val="000000" w:themeColor="text1"/>
          <w:sz w:val="24"/>
          <w:highlight w:val="none"/>
          <w:lang w:val="en-US" w:eastAsia="zh-CN"/>
          <w14:textFill>
            <w14:solidFill>
              <w14:schemeClr w14:val="tx1"/>
            </w14:solidFill>
          </w14:textFill>
        </w:rPr>
        <w:t>理财计划</w:t>
      </w:r>
      <w:r>
        <w:rPr>
          <w:rFonts w:hint="default" w:ascii="宋体" w:hAnsi="宋体" w:cs="宋体"/>
          <w:bCs/>
          <w:color w:val="000000" w:themeColor="text1"/>
          <w:sz w:val="24"/>
          <w:highlight w:val="none"/>
          <w:lang w:val="en-US" w:eastAsia="zh-CN"/>
          <w14:textFill>
            <w14:solidFill>
              <w14:schemeClr w14:val="tx1"/>
            </w14:solidFill>
          </w14:textFill>
        </w:rPr>
        <w:t>资产净值50%以上的资产不具备活跃交易市场或者在活跃市场中无报价，且不能采用估值技术可靠计量公允价值</w:t>
      </w:r>
      <w:r>
        <w:rPr>
          <w:rFonts w:hint="eastAsia" w:ascii="宋体" w:hAnsi="宋体" w:cs="宋体"/>
          <w:bCs/>
          <w:color w:val="000000" w:themeColor="text1"/>
          <w:sz w:val="24"/>
          <w:highlight w:val="none"/>
          <w:lang w:val="en-US" w:eastAsia="zh-CN"/>
          <w14:textFill>
            <w14:solidFill>
              <w14:schemeClr w14:val="tx1"/>
            </w14:solidFill>
          </w14:textFill>
        </w:rPr>
        <w:t>的情形</w:t>
      </w:r>
      <w:r>
        <w:rPr>
          <w:rFonts w:hint="default" w:ascii="宋体" w:hAnsi="宋体" w:cs="宋体"/>
          <w:bCs/>
          <w:color w:val="000000" w:themeColor="text1"/>
          <w:sz w:val="24"/>
          <w:highlight w:val="none"/>
          <w:lang w:val="en-US" w:eastAsia="zh-CN"/>
          <w14:textFill>
            <w14:solidFill>
              <w14:schemeClr w14:val="tx1"/>
            </w14:solidFill>
          </w14:textFill>
        </w:rPr>
        <w:t>时</w:t>
      </w:r>
      <w:r>
        <w:rPr>
          <w:rFonts w:hint="eastAsia" w:ascii="宋体" w:hAnsi="宋体" w:cs="宋体"/>
          <w:bCs/>
          <w:color w:val="000000" w:themeColor="text1"/>
          <w:sz w:val="24"/>
          <w:highlight w:val="none"/>
          <w:lang w:val="en-US" w:eastAsia="zh-CN"/>
          <w14:textFill>
            <w14:solidFill>
              <w14:schemeClr w14:val="tx1"/>
            </w14:solidFill>
          </w14:textFill>
        </w:rPr>
        <w:t>。</w:t>
      </w:r>
    </w:p>
    <w:p>
      <w:pPr>
        <w:numPr>
          <w:ilvl w:val="0"/>
          <w:numId w:val="56"/>
        </w:num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法律法规规定或监管机构认定的其他情形。</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到期清算</w:t>
      </w:r>
    </w:p>
    <w:p>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正常到期清算：本理财计划终止后，管理人将按照清算后的资产净值按持有份额比例对投资者进行分配，并通过销售机构最快〖</w:t>
      </w:r>
      <w:r>
        <w:rPr>
          <w:rFonts w:hint="eastAsia" w:ascii="宋体" w:hAnsi="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〗个</w:t>
      </w:r>
      <w:r>
        <w:rPr>
          <w:rFonts w:hint="eastAsia" w:ascii="宋体" w:hAnsi="宋体" w:cs="宋体"/>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、最晚〖</w:t>
      </w:r>
      <w:r>
        <w:rPr>
          <w:rFonts w:hint="eastAsia" w:ascii="宋体" w:hAnsi="宋体" w:cs="宋体"/>
          <w:bCs/>
          <w:color w:val="000000" w:themeColor="text1"/>
          <w:sz w:val="24"/>
          <w:highlight w:val="none"/>
          <w:lang w:val="en-US" w:eastAsia="zh-CN"/>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〗个</w:t>
      </w:r>
      <w:r>
        <w:rPr>
          <w:rFonts w:hint="eastAsia" w:ascii="宋体" w:hAnsi="宋体" w:cs="宋体"/>
          <w:bCs/>
          <w:color w:val="000000" w:themeColor="text1"/>
          <w:sz w:val="24"/>
          <w:highlight w:val="none"/>
          <w:lang w:val="en-US" w:eastAsia="zh-CN"/>
          <w14:textFill>
            <w14:solidFill>
              <w14:schemeClr w14:val="tx1"/>
            </w14:solidFill>
          </w14:textFill>
        </w:rPr>
        <w:t>交易日</w:t>
      </w:r>
      <w:r>
        <w:rPr>
          <w:rFonts w:hint="eastAsia" w:ascii="宋体" w:hAnsi="宋体" w:cs="宋体"/>
          <w:bCs/>
          <w:color w:val="000000" w:themeColor="text1"/>
          <w:sz w:val="24"/>
          <w:highlight w:val="none"/>
          <w14:textFill>
            <w14:solidFill>
              <w14:schemeClr w14:val="tx1"/>
            </w14:solidFill>
          </w14:textFill>
        </w:rPr>
        <w:t>内（遇节假日顺延）将资金按规定的要求划入投资者授权指定的理财账户。</w:t>
      </w:r>
      <w:r>
        <w:rPr>
          <w:rFonts w:hint="eastAsia" w:ascii="宋体" w:hAnsi="宋体" w:cs="宋体"/>
          <w:color w:val="000000" w:themeColor="text1"/>
          <w:kern w:val="0"/>
          <w:sz w:val="24"/>
          <w:szCs w:val="24"/>
          <w:highlight w:val="none"/>
          <w14:textFill>
            <w14:solidFill>
              <w14:schemeClr w14:val="tx1"/>
            </w14:solidFill>
          </w14:textFill>
        </w:rPr>
        <w:t>（具体以销售机构规定为准）</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提前终止</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在理财计划期限内，管理人根据投资情况有提前终止权，于本理财计划提前终止日前</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2〗个〖工作日〗通过管理人或销售机构发布提前终止公告，并于终止日后</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〗个</w:t>
      </w:r>
      <w:r>
        <w:rPr>
          <w:rFonts w:hint="eastAsia" w:ascii="宋体" w:hAnsi="宋体" w:cs="宋体"/>
          <w:bCs/>
          <w:color w:val="000000" w:themeColor="text1"/>
          <w:sz w:val="24"/>
          <w:highlight w:val="none"/>
          <w:lang w:val="en-US" w:eastAsia="zh-CN"/>
          <w14:textFill>
            <w14:solidFill>
              <w14:schemeClr w14:val="tx1"/>
            </w14:solidFill>
          </w14:textFill>
        </w:rPr>
        <w:t>交易</w:t>
      </w:r>
      <w:r>
        <w:rPr>
          <w:rFonts w:hint="eastAsia" w:ascii="宋体" w:hAnsi="宋体" w:cs="宋体"/>
          <w:bCs/>
          <w:color w:val="000000" w:themeColor="text1"/>
          <w:sz w:val="24"/>
          <w:highlight w:val="none"/>
          <w14:textFill>
            <w14:solidFill>
              <w14:schemeClr w14:val="tx1"/>
            </w14:solidFill>
          </w14:textFill>
        </w:rPr>
        <w:t>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如发生以下事项时，管理人可对本理财计划行使全部</w:t>
      </w:r>
      <w:r>
        <w:rPr>
          <w:rFonts w:hint="eastAsia" w:ascii="宋体" w:hAnsi="宋体" w:cs="宋体"/>
          <w:b/>
          <w:color w:val="000000" w:themeColor="text1"/>
          <w:sz w:val="24"/>
          <w:highlight w:val="none"/>
          <w:lang w:eastAsia="zh-CN"/>
          <w14:textFill>
            <w14:solidFill>
              <w14:schemeClr w14:val="tx1"/>
            </w14:solidFill>
          </w14:textFill>
        </w:rPr>
        <w:t>或部分</w:t>
      </w:r>
      <w:r>
        <w:rPr>
          <w:rFonts w:hint="eastAsia" w:ascii="宋体" w:hAnsi="宋体" w:cs="宋体"/>
          <w:b/>
          <w:color w:val="000000" w:themeColor="text1"/>
          <w:sz w:val="24"/>
          <w:highlight w:val="none"/>
          <w14:textFill>
            <w14:solidFill>
              <w14:schemeClr w14:val="tx1"/>
            </w14:solidFill>
          </w14:textFill>
        </w:rPr>
        <w:t>提前终止权：</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因不可抗力因素导致本理财计划必须提前终止的。</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理财计划的投资策略已不适合当前的市场环境的。</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融资人行使提前到期或还款权利的。</w:t>
      </w:r>
    </w:p>
    <w:p>
      <w:pPr>
        <w:numPr>
          <w:ilvl w:val="0"/>
          <w:numId w:val="57"/>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管理人认为应该提前终止的其他情形。</w:t>
      </w:r>
    </w:p>
    <w:p>
      <w:pPr>
        <w:numPr>
          <w:ilvl w:val="0"/>
          <w:numId w:val="48"/>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延期</w:t>
      </w:r>
    </w:p>
    <w:p>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管理人与托管人、销售机构协商一致决定延期。</w:t>
      </w:r>
    </w:p>
    <w:p>
      <w:pPr>
        <w:numPr>
          <w:ilvl w:val="0"/>
          <w:numId w:val="58"/>
        </w:numP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法律法规规定的或管理人认为有必要延期的其他情形。</w:t>
      </w:r>
    </w:p>
    <w:p>
      <w:pPr>
        <w:spacing w:line="360" w:lineRule="auto"/>
        <w:jc w:val="left"/>
        <w:rPr>
          <w:rFonts w:ascii="宋体" w:hAnsi="宋体" w:cs="宋体"/>
          <w:b/>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信息披露</w:t>
      </w:r>
    </w:p>
    <w:p>
      <w:pPr>
        <w:numPr>
          <w:ilvl w:val="0"/>
          <w:numId w:val="59"/>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披露内容及时间</w:t>
      </w:r>
    </w:p>
    <w:p>
      <w:pPr>
        <w:numPr>
          <w:ilvl w:val="0"/>
          <w:numId w:val="60"/>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认购信息披露</w:t>
      </w:r>
    </w:p>
    <w:p>
      <w:pPr>
        <w:numPr>
          <w:ilvl w:val="0"/>
          <w:numId w:val="61"/>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理财计划合同：管理人应在正式办理理财计划份额认购前披露，包括但不限于</w:t>
      </w:r>
      <w:r>
        <w:rPr>
          <w:rFonts w:hint="eastAsia" w:ascii="宋体" w:hAnsi="宋体" w:cs="宋体"/>
          <w:bCs/>
          <w:color w:val="000000" w:themeColor="text1"/>
          <w:sz w:val="24"/>
          <w:highlight w:val="none"/>
          <w:lang w:eastAsia="zh-CN"/>
          <w14:textFill>
            <w14:solidFill>
              <w14:schemeClr w14:val="tx1"/>
            </w14:solidFill>
          </w14:textFill>
        </w:rPr>
        <w:t>理财计划</w:t>
      </w:r>
      <w:r>
        <w:rPr>
          <w:rFonts w:hint="eastAsia" w:ascii="宋体" w:hAnsi="宋体" w:cs="宋体"/>
          <w:bCs/>
          <w:color w:val="000000" w:themeColor="text1"/>
          <w:sz w:val="24"/>
          <w:highlight w:val="none"/>
          <w14:textFill>
            <w14:solidFill>
              <w14:schemeClr w14:val="tx1"/>
            </w14:solidFill>
          </w14:textFill>
        </w:rPr>
        <w:t>风险揭示书、</w:t>
      </w:r>
      <w:r>
        <w:rPr>
          <w:rFonts w:hint="eastAsia" w:ascii="宋体" w:hAnsi="宋体" w:cs="宋体"/>
          <w:bCs/>
          <w:color w:val="000000" w:themeColor="text1"/>
          <w:sz w:val="24"/>
          <w:highlight w:val="none"/>
          <w:lang w:eastAsia="zh-CN"/>
          <w14:textFill>
            <w14:solidFill>
              <w14:schemeClr w14:val="tx1"/>
            </w14:solidFill>
          </w14:textFill>
        </w:rPr>
        <w:t>理财计划</w:t>
      </w:r>
      <w:r>
        <w:rPr>
          <w:rFonts w:hint="eastAsia" w:ascii="宋体" w:hAnsi="宋体" w:cs="宋体"/>
          <w:bCs/>
          <w:color w:val="000000" w:themeColor="text1"/>
          <w:sz w:val="24"/>
          <w:highlight w:val="none"/>
          <w14:textFill>
            <w14:solidFill>
              <w14:schemeClr w14:val="tx1"/>
            </w14:solidFill>
          </w14:textFill>
        </w:rPr>
        <w:t>产品说明书、投资者权益须知</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理财计划投资协议书</w:t>
      </w:r>
      <w:r>
        <w:rPr>
          <w:rFonts w:hint="eastAsia" w:ascii="宋体" w:hAnsi="宋体" w:cs="宋体"/>
          <w:bCs/>
          <w:color w:val="000000" w:themeColor="text1"/>
          <w:sz w:val="24"/>
          <w:highlight w:val="none"/>
          <w:lang w:eastAsia="zh-CN"/>
          <w14:textFill>
            <w14:solidFill>
              <w14:schemeClr w14:val="tx1"/>
            </w14:solidFill>
          </w14:textFill>
        </w:rPr>
        <w:t>以及理财计划销售协议书</w:t>
      </w:r>
      <w:r>
        <w:rPr>
          <w:rFonts w:hint="eastAsia" w:ascii="宋体" w:hAnsi="宋体" w:cs="宋体"/>
          <w:bCs/>
          <w:color w:val="000000" w:themeColor="text1"/>
          <w:sz w:val="24"/>
          <w:highlight w:val="none"/>
          <w14:textFill>
            <w14:solidFill>
              <w14:schemeClr w14:val="tx1"/>
            </w14:solidFill>
          </w14:textFill>
        </w:rPr>
        <w:t>。</w:t>
      </w:r>
    </w:p>
    <w:p>
      <w:pPr>
        <w:numPr>
          <w:ilvl w:val="0"/>
          <w:numId w:val="61"/>
        </w:num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发行公告：管理人应在理财计划成立日后</w:t>
      </w: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cs="宋体"/>
          <w:bCs/>
          <w:color w:val="000000" w:themeColor="text1"/>
          <w:sz w:val="24"/>
          <w:highlight w:val="none"/>
          <w14:textFill>
            <w14:solidFill>
              <w14:schemeClr w14:val="tx1"/>
            </w14:solidFill>
          </w14:textFill>
        </w:rPr>
        <w:t>个工作日内披露，包括成立日期、募集规模等信息。</w:t>
      </w:r>
    </w:p>
    <w:p>
      <w:pPr>
        <w:numPr>
          <w:ilvl w:val="0"/>
          <w:numId w:val="60"/>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运作信息披露</w:t>
      </w:r>
    </w:p>
    <w:p>
      <w:pPr>
        <w:numPr>
          <w:ilvl w:val="0"/>
          <w:numId w:val="62"/>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理财计划净值：管理人应在理财计划成立后，每个开放确认日后</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个工作日内披露本理财计划净值。</w:t>
      </w:r>
    </w:p>
    <w:p>
      <w:pPr>
        <w:numPr>
          <w:ilvl w:val="0"/>
          <w:numId w:val="62"/>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themeColor="text1"/>
          <w:sz w:val="24"/>
          <w:highlight w:val="none"/>
          <w:lang w:eastAsia="zh-CN"/>
          <w14:textFill>
            <w14:solidFill>
              <w14:schemeClr w14:val="tx1"/>
            </w14:solidFill>
          </w14:textFill>
        </w:rPr>
        <w:t>。如本理财计划成立不足</w:t>
      </w:r>
      <w:r>
        <w:rPr>
          <w:rFonts w:hint="eastAsia" w:ascii="宋体" w:hAnsi="宋体" w:cs="宋体"/>
          <w:bCs/>
          <w:color w:val="000000" w:themeColor="text1"/>
          <w:sz w:val="24"/>
          <w:highlight w:val="none"/>
          <w:lang w:val="en-US" w:eastAsia="zh-CN"/>
          <w14:textFill>
            <w14:solidFill>
              <w14:schemeClr w14:val="tx1"/>
            </w14:solidFill>
          </w14:textFill>
        </w:rPr>
        <w:t>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临时信息披露</w:t>
      </w:r>
    </w:p>
    <w:p>
      <w:pPr>
        <w:numPr>
          <w:ilvl w:val="0"/>
          <w:numId w:val="63"/>
        </w:num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重大事项公告：</w:t>
      </w:r>
      <w:r>
        <w:rPr>
          <w:rFonts w:hint="eastAsia" w:ascii="宋体" w:hAnsi="宋体" w:cs="宋体"/>
          <w:bCs/>
          <w:color w:val="000000" w:themeColor="text1"/>
          <w:sz w:val="24"/>
          <w:highlight w:val="none"/>
          <w:lang w:eastAsia="zh-CN"/>
          <w14:textFill>
            <w14:solidFill>
              <w14:schemeClr w14:val="tx1"/>
            </w14:solidFill>
          </w14:textFill>
        </w:rPr>
        <w:t>管理人应在运用</w:t>
      </w:r>
      <w:r>
        <w:rPr>
          <w:rFonts w:hint="eastAsia" w:ascii="宋体" w:hAnsi="宋体" w:cs="宋体"/>
          <w:bCs/>
          <w:color w:val="000000" w:themeColor="text1"/>
          <w:sz w:val="24"/>
          <w:highlight w:val="none"/>
          <w14:textFill>
            <w14:solidFill>
              <w14:schemeClr w14:val="tx1"/>
            </w14:solidFill>
          </w14:textFill>
        </w:rPr>
        <w:t>收取短期赎回费、摆动定价等措施后，3个交易日内</w:t>
      </w:r>
      <w:r>
        <w:rPr>
          <w:rFonts w:hint="eastAsia" w:ascii="宋体" w:hAnsi="宋体" w:cs="宋体"/>
          <w:bCs/>
          <w:color w:val="000000" w:themeColor="text1"/>
          <w:sz w:val="24"/>
          <w:highlight w:val="none"/>
          <w:lang w:eastAsia="zh-CN"/>
          <w14:textFill>
            <w14:solidFill>
              <w14:schemeClr w14:val="tx1"/>
            </w14:solidFill>
          </w14:textFill>
        </w:rPr>
        <w:t>发布相关事项公告；应在</w:t>
      </w:r>
      <w:r>
        <w:rPr>
          <w:rFonts w:hint="eastAsia" w:ascii="宋体" w:hAnsi="宋体" w:cs="宋体"/>
          <w:bCs/>
          <w:color w:val="000000" w:themeColor="text1"/>
          <w:sz w:val="24"/>
          <w:highlight w:val="none"/>
          <w:lang w:val="en-US" w:eastAsia="zh-CN"/>
          <w14:textFill>
            <w14:solidFill>
              <w14:schemeClr w14:val="tx1"/>
            </w14:solidFill>
          </w14:textFill>
        </w:rPr>
        <w:t>运用暂停认购、延期办理巨额赎回申请、暂停接受赎回申请、延缓支付赎回款项、暂停理财产品估值等措施后，</w:t>
      </w:r>
      <w:r>
        <w:rPr>
          <w:rFonts w:hint="eastAsia" w:ascii="宋体" w:hAnsi="宋体" w:cs="宋体"/>
          <w:bCs/>
          <w:color w:val="000000" w:themeColor="text1"/>
          <w:sz w:val="24"/>
          <w:highlight w:val="none"/>
          <w14:textFill>
            <w14:solidFill>
              <w14:schemeClr w14:val="tx1"/>
            </w14:solidFill>
          </w14:textFill>
        </w:rPr>
        <w:t>3个交易日内</w:t>
      </w:r>
      <w:r>
        <w:rPr>
          <w:rFonts w:hint="eastAsia" w:ascii="宋体" w:hAnsi="宋体" w:cs="宋体"/>
          <w:bCs/>
          <w:color w:val="000000" w:themeColor="text1"/>
          <w:sz w:val="24"/>
          <w:highlight w:val="none"/>
          <w:lang w:eastAsia="zh-CN"/>
          <w14:textFill>
            <w14:solidFill>
              <w14:schemeClr w14:val="tx1"/>
            </w14:solidFill>
          </w14:textFill>
        </w:rPr>
        <w:t>发布相关事项公告，</w:t>
      </w:r>
      <w:r>
        <w:rPr>
          <w:rFonts w:hint="eastAsia" w:ascii="宋体" w:hAnsi="宋体" w:cs="宋体"/>
          <w:bCs/>
          <w:color w:val="000000" w:themeColor="text1"/>
          <w:sz w:val="24"/>
          <w:highlight w:val="none"/>
          <w:lang w:val="en-US" w:eastAsia="zh-CN"/>
          <w14:textFill>
            <w14:solidFill>
              <w14:schemeClr w14:val="tx1"/>
            </w14:solidFill>
          </w14:textFill>
        </w:rPr>
        <w:t>说明运用相关措施的原因、拟采取的应对安排等；</w:t>
      </w:r>
      <w:r>
        <w:rPr>
          <w:rFonts w:hint="eastAsia" w:ascii="宋体" w:hAnsi="宋体" w:cs="宋体"/>
          <w:bCs/>
          <w:color w:val="000000" w:themeColor="text1"/>
          <w:sz w:val="24"/>
          <w:highlight w:val="none"/>
          <w:lang w:eastAsia="zh-CN"/>
          <w14:textFill>
            <w14:solidFill>
              <w14:schemeClr w14:val="tx1"/>
            </w14:solidFill>
          </w14:textFill>
        </w:rPr>
        <w:t>应在发生可能对理财计划投资者或者理财计划收益产</w:t>
      </w:r>
      <w:r>
        <w:rPr>
          <w:rFonts w:hint="eastAsia" w:ascii="宋体" w:hAnsi="宋体" w:cs="宋体"/>
          <w:bCs/>
          <w:color w:val="000000" w:themeColor="text1"/>
          <w:sz w:val="24"/>
          <w:highlight w:val="none"/>
          <w14:textFill>
            <w14:solidFill>
              <w14:schemeClr w14:val="tx1"/>
            </w14:solidFill>
          </w14:textFill>
        </w:rPr>
        <w:t>生重大事项的事件后2个工作日内发布重大事项公告。</w:t>
      </w:r>
    </w:p>
    <w:p>
      <w:pPr>
        <w:numPr>
          <w:ilvl w:val="0"/>
          <w:numId w:val="63"/>
        </w:num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临时公告：管理人应当及时披露除重大事项以外的其他信息，包括但不限于理财计划终止、更</w:t>
      </w:r>
      <w:r>
        <w:rPr>
          <w:rFonts w:hint="eastAsia" w:ascii="宋体" w:hAnsi="宋体" w:cs="宋体"/>
          <w:bCs/>
          <w:color w:val="000000" w:themeColor="text1"/>
          <w:sz w:val="24"/>
          <w:highlight w:val="none"/>
          <w:lang w:eastAsia="zh-CN"/>
          <w14:textFill>
            <w14:solidFill>
              <w14:schemeClr w14:val="tx1"/>
            </w14:solidFill>
          </w14:textFill>
        </w:rPr>
        <w:t>换</w:t>
      </w:r>
      <w:r>
        <w:rPr>
          <w:rFonts w:hint="eastAsia" w:ascii="宋体" w:hAnsi="宋体" w:cs="宋体"/>
          <w:bCs/>
          <w:color w:val="000000" w:themeColor="text1"/>
          <w:sz w:val="24"/>
          <w:highlight w:val="none"/>
          <w14:textFill>
            <w14:solidFill>
              <w14:schemeClr w14:val="tx1"/>
            </w14:solidFill>
          </w14:textFill>
        </w:rPr>
        <w:t>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披露方式</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themeColor="text1"/>
          <w:sz w:val="24"/>
          <w:highlight w:val="none"/>
          <w14:textFill>
            <w14:solidFill>
              <w14:schemeClr w14:val="tx1"/>
            </w14:solidFill>
          </w14:textFill>
        </w:rPr>
      </w:pPr>
    </w:p>
    <w:p>
      <w:pPr>
        <w:numPr>
          <w:ilvl w:val="0"/>
          <w:numId w:val="31"/>
        </w:numPr>
        <w:spacing w:line="360" w:lineRule="auto"/>
        <w:ind w:firstLine="482" w:firstLineChars="20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其他</w:t>
      </w:r>
    </w:p>
    <w:p>
      <w:pPr>
        <w:numPr>
          <w:ilvl w:val="0"/>
          <w:numId w:val="6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追索条款</w:t>
      </w:r>
    </w:p>
    <w:p>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信息安全</w:t>
      </w:r>
    </w:p>
    <w:p>
      <w:pPr>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themeColor="text1"/>
          <w:sz w:val="24"/>
          <w:highlight w:val="none"/>
          <w14:textFill>
            <w14:solidFill>
              <w14:schemeClr w14:val="tx1"/>
            </w14:solidFill>
          </w14:textFill>
        </w:rPr>
        <w:t>投资者在此同意并授权，管理人可根据监管要求，为理财计划登记等需要，向登记部门或监管机构提供投资者相关信息</w:t>
      </w:r>
      <w:r>
        <w:rPr>
          <w:rFonts w:hint="eastAsia" w:ascii="宋体" w:hAnsi="宋体" w:cs="宋体"/>
          <w:b/>
          <w:bCs w:val="0"/>
          <w:color w:val="000000" w:themeColor="text1"/>
          <w:sz w:val="24"/>
          <w:highlight w:val="none"/>
          <w:lang w:eastAsia="zh-CN"/>
          <w14:textFill>
            <w14:solidFill>
              <w14:schemeClr w14:val="tx1"/>
            </w14:solidFill>
          </w14:textFill>
        </w:rPr>
        <w:t>，</w:t>
      </w:r>
      <w:r>
        <w:rPr>
          <w:rFonts w:hint="eastAsia" w:ascii="宋体" w:hAnsi="宋体" w:cs="宋体"/>
          <w:b/>
          <w:bCs w:val="0"/>
          <w:color w:val="000000" w:themeColor="text1"/>
          <w:sz w:val="24"/>
          <w:highlight w:val="none"/>
          <w:lang w:val="en-US" w:eastAsia="zh-CN"/>
          <w14:textFill>
            <w14:solidFill>
              <w14:schemeClr w14:val="tx1"/>
            </w14:solidFill>
          </w14:textFill>
        </w:rPr>
        <w:t>授权使用时限与履行相关法律法规和监管要求的必要时限一致</w:t>
      </w:r>
      <w:r>
        <w:rPr>
          <w:rFonts w:hint="eastAsia" w:ascii="宋体" w:hAnsi="宋体" w:cs="宋体"/>
          <w:b/>
          <w:bCs w:val="0"/>
          <w:color w:val="000000" w:themeColor="text1"/>
          <w:sz w:val="24"/>
          <w:highlight w:val="none"/>
          <w14:textFill>
            <w14:solidFill>
              <w14:schemeClr w14:val="tx1"/>
            </w14:solidFill>
          </w14:textFill>
        </w:rPr>
        <w:t>。</w:t>
      </w:r>
    </w:p>
    <w:p>
      <w:pPr>
        <w:numPr>
          <w:ilvl w:val="0"/>
          <w:numId w:val="6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争议解决</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themeColor="text1"/>
          <w:sz w:val="24"/>
          <w:highlight w:val="none"/>
          <w:lang w:val="en-US" w:eastAsia="zh-CN"/>
          <w14:textFill>
            <w14:solidFill>
              <w14:schemeClr w14:val="tx1"/>
            </w14:solidFill>
          </w14:textFill>
        </w:rPr>
        <w:t>被告人</w:t>
      </w:r>
      <w:r>
        <w:rPr>
          <w:rFonts w:hint="eastAsia" w:ascii="宋体" w:hAnsi="宋体" w:cs="宋体"/>
          <w:bCs/>
          <w:color w:val="000000" w:themeColor="text1"/>
          <w:sz w:val="24"/>
          <w:highlight w:val="none"/>
          <w14:textFill>
            <w14:solidFill>
              <w14:schemeClr w14:val="tx1"/>
            </w14:solidFill>
          </w14:textFill>
        </w:rPr>
        <w:t>所在地有管辖权的人民法院诉讼解决。</w:t>
      </w:r>
    </w:p>
    <w:p>
      <w:pPr>
        <w:numPr>
          <w:ilvl w:val="0"/>
          <w:numId w:val="64"/>
        </w:numPr>
        <w:spacing w:line="360" w:lineRule="auto"/>
        <w:ind w:firstLine="482"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特别提示</w:t>
      </w:r>
    </w:p>
    <w:p>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44"/>
          <w:szCs w:val="44"/>
          <w:highlight w:val="none"/>
          <w14:textFill>
            <w14:solidFill>
              <w14:schemeClr w14:val="tx1"/>
            </w14:solidFill>
          </w14:textFill>
        </w:rPr>
        <w:t>杭银理财投资者权益须知</w:t>
      </w:r>
    </w:p>
    <w:p>
      <w:pPr>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202501</w:t>
      </w:r>
      <w:r>
        <w:rPr>
          <w:rFonts w:hint="eastAsia" w:ascii="宋体" w:hAnsi="宋体" w:cs="宋体"/>
          <w:color w:val="000000" w:themeColor="text1"/>
          <w:sz w:val="28"/>
          <w:szCs w:val="28"/>
          <w:highlight w:val="none"/>
          <w14:textFill>
            <w14:solidFill>
              <w14:schemeClr w14:val="tx1"/>
            </w14:solidFill>
          </w14:textFill>
        </w:rPr>
        <w:t>版）</w:t>
      </w:r>
    </w:p>
    <w:p>
      <w:pPr>
        <w:spacing w:line="360" w:lineRule="auto"/>
        <w:jc w:val="center"/>
        <w:rPr>
          <w:rFonts w:hint="eastAsia"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尊敬的投资者：</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5"/>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理财计划办理流程</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themeColor="text1"/>
          <w:kern w:val="0"/>
          <w:sz w:val="24"/>
          <w:highlight w:val="none"/>
          <w:lang w:val="en-US" w:eastAsia="zh-CN"/>
          <w14:textFill>
            <w14:solidFill>
              <w14:schemeClr w14:val="tx1"/>
            </w14:solidFill>
          </w14:textFill>
        </w:rPr>
        <w:t>如销售机构对于机构投资者的风险承受能力评估有要求的，则参照销售机构相关评估标准或代理销售协议书执行。</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投资者应仔细阅读本理财计划完整合同（包括但不限于</w:t>
      </w:r>
      <w:r>
        <w:rPr>
          <w:rFonts w:hint="eastAsia" w:ascii="宋体" w:hAnsi="宋体" w:cs="宋体"/>
          <w:color w:val="000000" w:themeColor="text1"/>
          <w:kern w:val="0"/>
          <w:sz w:val="24"/>
          <w:highlight w:val="none"/>
          <w:lang w:eastAsia="zh-CN"/>
          <w14:textFill>
            <w14:solidFill>
              <w14:schemeClr w14:val="tx1"/>
            </w14:solidFill>
          </w14:textFill>
        </w:rPr>
        <w:t>理财计划</w:t>
      </w:r>
      <w:r>
        <w:rPr>
          <w:rFonts w:hint="eastAsia" w:ascii="宋体" w:hAnsi="宋体" w:cs="宋体"/>
          <w:color w:val="000000" w:themeColor="text1"/>
          <w:kern w:val="0"/>
          <w:sz w:val="24"/>
          <w:highlight w:val="none"/>
          <w14:textFill>
            <w14:solidFill>
              <w14:schemeClr w14:val="tx1"/>
            </w14:solidFill>
          </w14:textFill>
        </w:rPr>
        <w:t>风险揭示书、理财计划产品说明书、投资者权益须知</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理财计划投资协议书</w:t>
      </w:r>
      <w:r>
        <w:rPr>
          <w:rFonts w:hint="eastAsia" w:ascii="宋体" w:hAnsi="宋体" w:cs="宋体"/>
          <w:color w:val="000000" w:themeColor="text1"/>
          <w:kern w:val="0"/>
          <w:sz w:val="24"/>
          <w:highlight w:val="none"/>
          <w:lang w:eastAsia="zh-CN"/>
          <w14:textFill>
            <w14:solidFill>
              <w14:schemeClr w14:val="tx1"/>
            </w14:solidFill>
          </w14:textFill>
        </w:rPr>
        <w:t>和理财计划销售协议书</w:t>
      </w:r>
      <w:r>
        <w:rPr>
          <w:rFonts w:hint="eastAsia" w:ascii="宋体" w:hAnsi="宋体" w:cs="宋体"/>
          <w:color w:val="000000" w:themeColor="text1"/>
          <w:kern w:val="0"/>
          <w:sz w:val="24"/>
          <w:highlight w:val="none"/>
          <w14:textFill>
            <w14:solidFill>
              <w14:schemeClr w14:val="tx1"/>
            </w14:solidFill>
          </w14:textFill>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如在银行营业场所购买杭银理财理财计划，销售机构需对每笔理财计划销售过程同步录音录像。</w:t>
      </w:r>
    </w:p>
    <w:p>
      <w:pPr>
        <w:numPr>
          <w:ilvl w:val="0"/>
          <w:numId w:val="66"/>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投资者确定交易金额，完成交易申请，并在确认份额后进行查询。</w:t>
      </w:r>
    </w:p>
    <w:p>
      <w:pPr>
        <w:numPr>
          <w:ilvl w:val="0"/>
          <w:numId w:val="67"/>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杭银理财产品风险评级</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机构投资者及进取型的个人投资者</w:t>
            </w:r>
          </w:p>
        </w:tc>
      </w:tr>
    </w:tbl>
    <w:p>
      <w:pPr>
        <w:numPr>
          <w:ilvl w:val="0"/>
          <w:numId w:val="0"/>
        </w:numPr>
        <w:spacing w:line="360" w:lineRule="auto"/>
        <w:ind w:left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投资者风险承受能力评级水平以销售机构评估为准。</w:t>
      </w:r>
    </w:p>
    <w:p>
      <w:pPr>
        <w:numPr>
          <w:ilvl w:val="0"/>
          <w:numId w:val="68"/>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投资者风险承受能力评估</w:t>
      </w:r>
    </w:p>
    <w:p>
      <w:pPr>
        <w:numPr>
          <w:ilvl w:val="0"/>
          <w:numId w:val="69"/>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9"/>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个人投资者风险承受能力评估结果有效期为一年，如风险承受能力评估时效已超过一年，或影响风险承受能力的因素发生变化，请及时完成风险承受能力的重新评估。</w:t>
      </w:r>
    </w:p>
    <w:p>
      <w:pPr>
        <w:numPr>
          <w:ilvl w:val="0"/>
          <w:numId w:val="69"/>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个人投资者风险承受能力评估流程（详询销售机构工作人员）</w:t>
      </w:r>
    </w:p>
    <w:p>
      <w:pPr>
        <w:numPr>
          <w:ilvl w:val="0"/>
          <w:numId w:val="7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个人投资者在销售机构进行风险承受能力评估；</w:t>
      </w:r>
    </w:p>
    <w:p>
      <w:pPr>
        <w:numPr>
          <w:ilvl w:val="0"/>
          <w:numId w:val="7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填写销售机构个人投资者风险承受能力测试问卷；</w:t>
      </w:r>
    </w:p>
    <w:p>
      <w:pPr>
        <w:numPr>
          <w:ilvl w:val="0"/>
          <w:numId w:val="7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生成相应的个人投资者风险承受能力评估结果；</w:t>
      </w:r>
    </w:p>
    <w:p>
      <w:pPr>
        <w:numPr>
          <w:ilvl w:val="0"/>
          <w:numId w:val="7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投资者对评估结果进行确认。</w:t>
      </w:r>
    </w:p>
    <w:p>
      <w:pPr>
        <w:numPr>
          <w:ilvl w:val="0"/>
          <w:numId w:val="71"/>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风险承受能力评估结果将作为评价个人投资者是否适合购买理财计划的重要因素，风险承受能力评级越高适合购买的理财计划风险评级越高，适合购买的理财计划类型越丰富。</w:t>
      </w:r>
    </w:p>
    <w:p>
      <w:pPr>
        <w:numPr>
          <w:ilvl w:val="0"/>
          <w:numId w:val="71"/>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1"/>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themeColor="text1"/>
          <w:kern w:val="0"/>
          <w:sz w:val="24"/>
          <w:highlight w:val="none"/>
          <w:lang w:eastAsia="zh-CN"/>
          <w14:textFill>
            <w14:solidFill>
              <w14:schemeClr w14:val="tx1"/>
            </w14:solidFill>
          </w14:textFill>
        </w:rPr>
        <w:t>理财计划风险揭示书、理财计划</w:t>
      </w:r>
      <w:r>
        <w:rPr>
          <w:rFonts w:hint="eastAsia" w:ascii="宋体" w:hAnsi="宋体" w:cs="宋体"/>
          <w:color w:val="000000" w:themeColor="text1"/>
          <w:kern w:val="0"/>
          <w:sz w:val="24"/>
          <w:highlight w:val="none"/>
          <w14:textFill>
            <w14:solidFill>
              <w14:schemeClr w14:val="tx1"/>
            </w14:solidFill>
          </w14:textFill>
        </w:rPr>
        <w:t>产品说明书</w:t>
      </w:r>
      <w:r>
        <w:rPr>
          <w:rFonts w:hint="eastAsia" w:ascii="宋体" w:hAnsi="宋体" w:cs="宋体"/>
          <w:color w:val="000000" w:themeColor="text1"/>
          <w:kern w:val="0"/>
          <w:sz w:val="24"/>
          <w:highlight w:val="none"/>
          <w:lang w:eastAsia="zh-CN"/>
          <w14:textFill>
            <w14:solidFill>
              <w14:schemeClr w14:val="tx1"/>
            </w14:solidFill>
          </w14:textFill>
        </w:rPr>
        <w:t>、理财计划投资协议书和理财计划销售协议书</w:t>
      </w:r>
      <w:r>
        <w:rPr>
          <w:rFonts w:hint="eastAsia" w:ascii="宋体" w:hAnsi="宋体" w:cs="宋体"/>
          <w:color w:val="000000" w:themeColor="text1"/>
          <w:kern w:val="0"/>
          <w:sz w:val="24"/>
          <w:highlight w:val="none"/>
          <w14:textFill>
            <w14:solidFill>
              <w14:schemeClr w14:val="tx1"/>
            </w14:solidFill>
          </w14:textFill>
        </w:rPr>
        <w:t>的基础上，充分认识投资本理财计划需要承担的风险。</w:t>
      </w:r>
      <w:r>
        <w:rPr>
          <w:rFonts w:hint="eastAsia" w:ascii="宋体" w:hAnsi="宋体" w:cs="宋体"/>
          <w:color w:val="000000" w:themeColor="text1"/>
          <w:kern w:val="0"/>
          <w:sz w:val="24"/>
          <w:highlight w:val="none"/>
          <w:lang w:val="en-US" w:eastAsia="zh-CN"/>
          <w14:textFill>
            <w14:solidFill>
              <w14:schemeClr w14:val="tx1"/>
            </w14:solidFill>
          </w14:textFill>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四、理财计划信息披露</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五、投资者信息管理</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六、投诉与建议</w:t>
      </w:r>
    </w:p>
    <w:p>
      <w:pPr>
        <w:numPr>
          <w:ilvl w:val="0"/>
          <w:numId w:val="7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投资者如认为理财</w:t>
      </w:r>
      <w:r>
        <w:rPr>
          <w:rFonts w:hint="eastAsia" w:ascii="宋体" w:hAnsi="宋体" w:cs="宋体"/>
          <w:color w:val="000000" w:themeColor="text1"/>
          <w:kern w:val="0"/>
          <w:sz w:val="24"/>
          <w:highlight w:val="none"/>
          <w:lang w:val="en-US" w:eastAsia="zh-CN"/>
          <w14:textFill>
            <w14:solidFill>
              <w14:schemeClr w14:val="tx1"/>
            </w14:solidFill>
          </w14:textFill>
        </w:rPr>
        <w:t>计划</w:t>
      </w:r>
      <w:r>
        <w:rPr>
          <w:rFonts w:hint="eastAsia" w:ascii="宋体" w:hAnsi="宋体" w:cs="宋体"/>
          <w:color w:val="000000" w:themeColor="text1"/>
          <w:kern w:val="0"/>
          <w:sz w:val="24"/>
          <w:highlight w:val="none"/>
          <w14:textFill>
            <w14:solidFill>
              <w14:schemeClr w14:val="tx1"/>
            </w14:solidFill>
          </w14:textFill>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themeColor="text1"/>
          <w:kern w:val="0"/>
          <w:sz w:val="24"/>
          <w:highlight w:val="none"/>
          <w:lang w:val="en-US" w:eastAsia="zh-CN"/>
          <w14:textFill>
            <w14:solidFill>
              <w14:schemeClr w14:val="tx1"/>
            </w14:solidFill>
          </w14:textFill>
        </w:rPr>
        <w:t>或管理人</w:t>
      </w:r>
      <w:r>
        <w:rPr>
          <w:rFonts w:hint="eastAsia" w:ascii="宋体" w:hAnsi="宋体" w:cs="宋体"/>
          <w:color w:val="000000" w:themeColor="text1"/>
          <w:kern w:val="0"/>
          <w:sz w:val="24"/>
          <w:highlight w:val="none"/>
          <w14:textFill>
            <w14:solidFill>
              <w14:schemeClr w14:val="tx1"/>
            </w14:solidFill>
          </w14:textFill>
        </w:rPr>
        <w:t>热线或客服电话进行反馈</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将由专人接听、记录您的意见建议，并由双方协商共同解决。</w:t>
      </w:r>
    </w:p>
    <w:p>
      <w:pPr>
        <w:numPr>
          <w:ilvl w:val="0"/>
          <w:numId w:val="7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联络方式</w:t>
      </w:r>
    </w:p>
    <w:p>
      <w:pPr>
        <w:numPr>
          <w:ilvl w:val="0"/>
          <w:numId w:val="73"/>
        </w:numPr>
        <w:spacing w:line="360" w:lineRule="auto"/>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杭银理财联络方式：</w:t>
      </w:r>
    </w:p>
    <w:p>
      <w:pPr>
        <w:numPr>
          <w:ilvl w:val="0"/>
          <w:numId w:val="0"/>
        </w:numPr>
        <w:spacing w:line="360" w:lineRule="auto"/>
        <w:ind w:firstLine="480" w:firstLineChars="200"/>
        <w:rPr>
          <w:rFonts w:hint="eastAsia" w:ascii="宋体" w:hAnsi="宋体" w:cs="宋体"/>
          <w:color w:val="000000" w:themeColor="text1"/>
          <w:kern w:val="0"/>
          <w:sz w:val="24"/>
          <w:highlight w:val="none"/>
          <w:u w:val="singl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bCs/>
          <w:color w:val="000000" w:themeColor="text1"/>
          <w:kern w:val="2"/>
          <w:highlight w:val="none"/>
          <w:u w:val="none"/>
          <w:lang w:val="en-US" w:eastAsia="zh-CN"/>
          <w14:textFill>
            <w14:solidFill>
              <w14:schemeClr w14:val="tx1"/>
            </w14:solidFill>
          </w14:textFill>
        </w:rPr>
        <w:t>https://</w:t>
      </w:r>
      <w:r>
        <w:rPr>
          <w:rStyle w:val="14"/>
          <w:rFonts w:hint="eastAsia" w:ascii="宋体" w:hAnsi="宋体" w:cs="宋体"/>
          <w:color w:val="000000" w:themeColor="text1"/>
          <w:kern w:val="0"/>
          <w:sz w:val="24"/>
          <w:szCs w:val="22"/>
          <w:highlight w:val="none"/>
          <w:u w:val="none"/>
          <w:lang w:val="en-US" w:eastAsia="zh-CN"/>
          <w14:textFill>
            <w14:solidFill>
              <w14:schemeClr w14:val="tx1"/>
            </w14:solidFill>
          </w14:textFill>
        </w:rPr>
        <w:t>www.hzbankwealth.com.cn</w:t>
      </w:r>
    </w:p>
    <w:p>
      <w:pPr>
        <w:numPr>
          <w:ilvl w:val="0"/>
          <w:numId w:val="0"/>
        </w:numPr>
        <w:spacing w:line="360" w:lineRule="auto"/>
        <w:ind w:firstLine="480" w:firstLineChars="200"/>
        <w:rPr>
          <w:rFonts w:hint="default" w:ascii="宋体" w:hAnsi="宋体" w:cs="宋体"/>
          <w:color w:val="000000" w:themeColor="text1"/>
          <w:kern w:val="0"/>
          <w:sz w:val="24"/>
          <w:highlight w:val="none"/>
          <w:u w:val="none"/>
          <w:lang w:val="en-US" w:eastAsia="zh-CN"/>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客户服务热线：400-8950-999</w:t>
      </w:r>
    </w:p>
    <w:p>
      <w:pPr>
        <w:numPr>
          <w:ilvl w:val="0"/>
          <w:numId w:val="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公司地址：</w:t>
      </w:r>
      <w:r>
        <w:rPr>
          <w:rFonts w:hint="eastAsia" w:ascii="宋体" w:hAnsi="宋体" w:cs="宋体"/>
          <w:color w:val="000000" w:themeColor="text1"/>
          <w:kern w:val="0"/>
          <w:sz w:val="24"/>
          <w:highlight w:val="none"/>
          <w14:textFill>
            <w14:solidFill>
              <w14:schemeClr w14:val="tx1"/>
            </w14:solidFill>
          </w14:textFill>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若</w:t>
      </w:r>
      <w:r>
        <w:rPr>
          <w:rFonts w:hint="eastAsia" w:ascii="宋体" w:hAnsi="宋体" w:cs="宋体"/>
          <w:color w:val="000000" w:themeColor="text1"/>
          <w:kern w:val="0"/>
          <w:sz w:val="24"/>
          <w:highlight w:val="none"/>
          <w14:textFill>
            <w14:solidFill>
              <w14:schemeClr w14:val="tx1"/>
            </w14:solidFill>
          </w14:textFill>
        </w:rPr>
        <w:t>上述联系方式变更，杭银理财将提前通过</w:t>
      </w: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color w:val="000000" w:themeColor="text1"/>
          <w:kern w:val="0"/>
          <w:sz w:val="24"/>
          <w:highlight w:val="none"/>
          <w14:textFill>
            <w14:solidFill>
              <w14:schemeClr w14:val="tx1"/>
            </w14:solidFill>
          </w14:textFill>
        </w:rPr>
        <w:t>及时告知投资者。</w:t>
      </w:r>
    </w:p>
    <w:p>
      <w:pPr>
        <w:numPr>
          <w:ilvl w:val="0"/>
          <w:numId w:val="73"/>
        </w:numPr>
        <w:spacing w:line="360" w:lineRule="auto"/>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杭州银行</w:t>
      </w:r>
      <w:r>
        <w:rPr>
          <w:rFonts w:hint="eastAsia" w:ascii="宋体" w:hAnsi="宋体" w:cs="宋体"/>
          <w:color w:val="000000" w:themeColor="text1"/>
          <w:kern w:val="0"/>
          <w:sz w:val="24"/>
          <w:highlight w:val="none"/>
          <w14:textFill>
            <w14:solidFill>
              <w14:schemeClr w14:val="tx1"/>
            </w14:solidFill>
          </w14:textFill>
        </w:rPr>
        <w:t>（作为销售机构）</w:t>
      </w:r>
      <w:r>
        <w:rPr>
          <w:rFonts w:hint="eastAsia" w:ascii="宋体" w:hAnsi="宋体" w:cs="宋体"/>
          <w:color w:val="000000" w:themeColor="text1"/>
          <w:kern w:val="0"/>
          <w:sz w:val="24"/>
          <w:highlight w:val="none"/>
          <w:lang w:eastAsia="zh-CN"/>
          <w14:textFill>
            <w14:solidFill>
              <w14:schemeClr w14:val="tx1"/>
            </w14:solidFill>
          </w14:textFill>
        </w:rPr>
        <w:t>联络方式：</w:t>
      </w:r>
    </w:p>
    <w:p>
      <w:pPr>
        <w:spacing w:line="360" w:lineRule="auto"/>
        <w:ind w:firstLine="480" w:firstLineChars="200"/>
        <w:rPr>
          <w:rFonts w:hint="eastAsia" w:ascii="宋体" w:hAnsi="宋体" w:cs="宋体"/>
          <w:color w:val="000000" w:themeColor="text1"/>
          <w:kern w:val="0"/>
          <w:sz w:val="24"/>
          <w:highlight w:val="none"/>
          <w:u w:val="singl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begin"/>
      </w:r>
      <w:r>
        <w:rPr>
          <w:rFonts w:hint="eastAsia" w:ascii="宋体" w:hAnsi="宋体" w:cs="宋体"/>
          <w:color w:val="000000" w:themeColor="text1"/>
          <w:kern w:val="0"/>
          <w:sz w:val="24"/>
          <w:highlight w:val="none"/>
          <w:u w:val="none"/>
          <w:lang w:val="en-US" w:eastAsia="zh-CN"/>
          <w14:textFill>
            <w14:solidFill>
              <w14:schemeClr w14:val="tx1"/>
            </w14:solidFill>
          </w14:textFill>
        </w:rPr>
        <w:instrText xml:space="preserve"> HYPERLINK "http://www.hzbankwealth.cn" </w:instrTex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separate"/>
      </w:r>
      <w:r>
        <w:rPr>
          <w:rStyle w:val="14"/>
          <w:rFonts w:hint="eastAsia" w:ascii="宋体" w:hAnsi="宋体" w:cs="宋体"/>
          <w:color w:val="000000" w:themeColor="text1"/>
          <w:kern w:val="0"/>
          <w:sz w:val="24"/>
          <w:highlight w:val="none"/>
          <w:u w:val="none"/>
          <w:lang w:val="en-US" w:eastAsia="zh-CN"/>
          <w14:textFill>
            <w14:solidFill>
              <w14:schemeClr w14:val="tx1"/>
            </w14:solidFill>
          </w14:textFill>
        </w:rPr>
        <w:t>www.hzbank.com.cn</w: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end"/>
      </w:r>
    </w:p>
    <w:p>
      <w:pPr>
        <w:spacing w:line="360" w:lineRule="auto"/>
        <w:ind w:firstLine="480" w:firstLineChars="200"/>
        <w:rPr>
          <w:rFonts w:hint="default" w:ascii="宋体" w:hAnsi="宋体" w:eastAsia="宋体" w:cs="宋体"/>
          <w:color w:val="000000" w:themeColor="text1"/>
          <w:kern w:val="0"/>
          <w:sz w:val="24"/>
          <w:highlight w:val="none"/>
          <w:u w:val="none"/>
          <w:lang w:val="en-US" w:eastAsia="zh-CN"/>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客户服务热线：95398、</w:t>
      </w:r>
      <w:r>
        <w:rPr>
          <w:rFonts w:hint="eastAsia" w:ascii="宋体" w:hAnsi="宋体" w:cs="宋体"/>
          <w:color w:val="000000" w:themeColor="text1"/>
          <w:kern w:val="0"/>
          <w:sz w:val="24"/>
          <w:highlight w:val="none"/>
          <w14:textFill>
            <w14:solidFill>
              <w14:schemeClr w14:val="tx1"/>
            </w14:solidFill>
          </w14:textFill>
        </w:rPr>
        <w:t>4008888508</w:t>
      </w:r>
    </w:p>
    <w:p>
      <w:pPr>
        <w:spacing w:line="360" w:lineRule="auto"/>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其他销售机构购买理财计划的，请联系其他销售机构，联系方式以其披露为准。</w:t>
      </w:r>
    </w:p>
    <w:p>
      <w:pPr>
        <w:spacing w:line="360" w:lineRule="auto"/>
        <w:jc w:val="center"/>
        <w:outlineLvl w:val="0"/>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r>
        <w:rPr>
          <w:rFonts w:hint="eastAsia"/>
          <w:b/>
          <w:color w:val="000000" w:themeColor="text1"/>
          <w:sz w:val="44"/>
          <w:szCs w:val="44"/>
          <w:highlight w:val="none"/>
          <w14:textFill>
            <w14:solidFill>
              <w14:schemeClr w14:val="tx1"/>
            </w14:solidFill>
          </w14:textFill>
        </w:rPr>
        <w:t>杭银理财理财计划投资协议书</w:t>
      </w:r>
    </w:p>
    <w:p>
      <w:pPr>
        <w:jc w:val="center"/>
        <w:rPr>
          <w:rFonts w:hint="eastAsia"/>
          <w:b/>
          <w:color w:val="000000" w:themeColor="text1"/>
          <w:sz w:val="44"/>
          <w:szCs w:val="4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202501</w:t>
      </w:r>
      <w:r>
        <w:rPr>
          <w:rFonts w:hint="eastAsia" w:ascii="宋体" w:hAnsi="宋体" w:cs="宋体"/>
          <w:color w:val="000000" w:themeColor="text1"/>
          <w:sz w:val="28"/>
          <w:szCs w:val="28"/>
          <w:highlight w:val="none"/>
          <w14:textFill>
            <w14:solidFill>
              <w14:schemeClr w14:val="tx1"/>
            </w14:solidFill>
          </w14:textFill>
        </w:rPr>
        <w:t>版）</w:t>
      </w:r>
    </w:p>
    <w:p>
      <w:pPr>
        <w:spacing w:line="360" w:lineRule="auto"/>
        <w:jc w:val="center"/>
        <w:rPr>
          <w:rFonts w:hint="eastAsia"/>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spacing w:line="360" w:lineRule="auto"/>
        <w:ind w:firstLine="482" w:firstLineChars="200"/>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特别提示：杭银理财理财计划投资协议书与</w:t>
      </w:r>
      <w:r>
        <w:rPr>
          <w:rFonts w:hint="eastAsia"/>
          <w:b/>
          <w:bCs/>
          <w:color w:val="000000" w:themeColor="text1"/>
          <w:sz w:val="24"/>
          <w:highlight w:val="none"/>
          <w:lang w:eastAsia="zh-CN"/>
          <w14:textFill>
            <w14:solidFill>
              <w14:schemeClr w14:val="tx1"/>
            </w14:solidFill>
          </w14:textFill>
        </w:rPr>
        <w:t>理财计划风险揭示书、理财计划产品说明书、</w:t>
      </w:r>
      <w:r>
        <w:rPr>
          <w:rFonts w:hint="eastAsia"/>
          <w:b/>
          <w:bCs/>
          <w:color w:val="000000" w:themeColor="text1"/>
          <w:sz w:val="24"/>
          <w:highlight w:val="none"/>
          <w14:textFill>
            <w14:solidFill>
              <w14:schemeClr w14:val="tx1"/>
            </w14:solidFill>
          </w14:textFill>
        </w:rPr>
        <w:t>投资者权益须知</w:t>
      </w:r>
      <w:r>
        <w:rPr>
          <w:rFonts w:hint="eastAsia"/>
          <w:b/>
          <w:bCs/>
          <w:color w:val="000000" w:themeColor="text1"/>
          <w:sz w:val="24"/>
          <w:highlight w:val="none"/>
          <w:lang w:eastAsia="zh-CN"/>
          <w14:textFill>
            <w14:solidFill>
              <w14:schemeClr w14:val="tx1"/>
            </w14:solidFill>
          </w14:textFill>
        </w:rPr>
        <w:t>及理财计划销售协议书</w:t>
      </w:r>
      <w:r>
        <w:rPr>
          <w:rFonts w:hint="eastAsia"/>
          <w:b/>
          <w:bCs/>
          <w:color w:val="000000" w:themeColor="text1"/>
          <w:sz w:val="24"/>
          <w:highlight w:val="none"/>
          <w14:textFill>
            <w14:solidFill>
              <w14:schemeClr w14:val="tx1"/>
            </w14:solidFill>
          </w14:textFill>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ascii="宋体" w:hAnsi="宋体"/>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名词释义</w:t>
      </w:r>
    </w:p>
    <w:p>
      <w:pPr>
        <w:spacing w:line="360" w:lineRule="auto"/>
        <w:ind w:firstLine="480" w:firstLineChars="20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详见理财计划说明书“释义”部分。</w:t>
      </w:r>
    </w:p>
    <w:p>
      <w:pPr>
        <w:spacing w:line="360" w:lineRule="auto"/>
        <w:ind w:firstLine="480" w:firstLineChars="200"/>
        <w:rPr>
          <w:rFonts w:hint="eastAsia"/>
          <w:bCs/>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投资者权利与义务</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themeColor="text1"/>
          <w:kern w:val="0"/>
          <w:sz w:val="24"/>
          <w:highlight w:val="none"/>
          <w14:textFill>
            <w14:solidFill>
              <w14:schemeClr w14:val="tx1"/>
            </w14:solidFill>
          </w14:textFill>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投资者保证自身完全了解理财投资的性质，投资所涉及的风险以及自身风险承受能力，在慎重考虑后独立作出交易决定。</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投资者保证其有权利签署本协议和履行本协议所述的义务，并已为此采取一切所需的行为。</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本协议终止前，投资者不得将授权指定账户销户。若发生因投资者注销授权指定账户造成理财计划无法正常兑付的，管理人不承担任何责任。</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投资者进行投资时，应严格遵守反洗钱相关法规的规定，切实履行反洗钱及反恐怖融资义务。 </w:t>
      </w:r>
    </w:p>
    <w:p>
      <w:pPr>
        <w:spacing w:line="360" w:lineRule="auto"/>
        <w:ind w:left="482"/>
        <w:rPr>
          <w:b/>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管理人权利与义务</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管理人应当诚实守信、勤勉尽责地履行受人之托、代人理财职责。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管理人应当按照理财计划销售文件的约定收取管理费用、确定收益分配方案、向投资者分配收益。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管理人应当按照理财计划销售文件的约定履行风险揭示及信息披露义务。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管理人应当确保理财业务与其他业务相分离，理财计划之间相分离，理财业务操作与其他业务操作相分离。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管理人不得将理财</w:t>
      </w:r>
      <w:r>
        <w:rPr>
          <w:rFonts w:hint="eastAsia" w:ascii="宋体" w:hAnsi="宋体"/>
          <w:color w:val="000000" w:themeColor="text1"/>
          <w:sz w:val="24"/>
          <w:highlight w:val="none"/>
          <w14:textFill>
            <w14:solidFill>
              <w14:schemeClr w14:val="tx1"/>
            </w14:solidFill>
          </w14:textFill>
        </w:rPr>
        <w:t>计划</w:t>
      </w:r>
      <w:r>
        <w:rPr>
          <w:rFonts w:ascii="宋体" w:hAnsi="宋体"/>
          <w:color w:val="000000" w:themeColor="text1"/>
          <w:sz w:val="24"/>
          <w:highlight w:val="none"/>
          <w14:textFill>
            <w14:solidFill>
              <w14:schemeClr w14:val="tx1"/>
            </w14:solidFill>
          </w14:textFill>
        </w:rPr>
        <w:t>财产归入其自有资产</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因依法解散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被依法撤销或者被依法宣告破产等原因进行清算的</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理财</w:t>
      </w:r>
      <w:r>
        <w:rPr>
          <w:rFonts w:hint="eastAsia" w:ascii="宋体" w:hAnsi="宋体"/>
          <w:color w:val="000000" w:themeColor="text1"/>
          <w:sz w:val="24"/>
          <w:highlight w:val="none"/>
          <w14:textFill>
            <w14:solidFill>
              <w14:schemeClr w14:val="tx1"/>
            </w14:solidFill>
          </w14:textFill>
        </w:rPr>
        <w:t>计划</w:t>
      </w:r>
      <w:r>
        <w:rPr>
          <w:rFonts w:ascii="宋体" w:hAnsi="宋体"/>
          <w:color w:val="000000" w:themeColor="text1"/>
          <w:sz w:val="24"/>
          <w:highlight w:val="none"/>
          <w14:textFill>
            <w14:solidFill>
              <w14:schemeClr w14:val="tx1"/>
            </w14:solidFill>
          </w14:textFill>
        </w:rPr>
        <w:t>财产不属于其清算财产</w:t>
      </w:r>
      <w:r>
        <w:rPr>
          <w:rFonts w:hint="eastAsia" w:ascii="宋体" w:hAnsi="宋体"/>
          <w:color w:val="000000" w:themeColor="text1"/>
          <w:sz w:val="24"/>
          <w:highlight w:val="none"/>
          <w14:textFill>
            <w14:solidFill>
              <w14:schemeClr w14:val="tx1"/>
            </w14:solidFill>
          </w14:textFill>
        </w:rPr>
        <w:t>。</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管理人</w:t>
      </w:r>
      <w:r>
        <w:rPr>
          <w:rFonts w:hint="eastAsia" w:ascii="宋体" w:hAnsi="宋体" w:cs="宋体"/>
          <w:bCs/>
          <w:color w:val="000000" w:themeColor="text1"/>
          <w:sz w:val="24"/>
          <w:highlight w:val="none"/>
          <w14:textFill>
            <w14:solidFill>
              <w14:schemeClr w14:val="tx1"/>
            </w14:solidFill>
          </w14:textFill>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授权使用时限与履行相关法律法规和监管要求的必要时限一致</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p>
    <w:p>
      <w:pPr>
        <w:widowControl/>
        <w:numPr>
          <w:ilvl w:val="0"/>
          <w:numId w:val="7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理财计划认（申）购、赎回及终止</w:t>
      </w:r>
    </w:p>
    <w:p>
      <w:pPr>
        <w:widowControl/>
        <w:numPr>
          <w:ilvl w:val="0"/>
          <w:numId w:val="7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理财计划认/申购办理流程：参照《投资者权益须知》约定。 </w:t>
      </w:r>
    </w:p>
    <w:p>
      <w:pPr>
        <w:widowControl/>
        <w:numPr>
          <w:ilvl w:val="0"/>
          <w:numId w:val="7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7"/>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理财计划投资品种、投资起点金额、收益支付方式：参照对应期次的《理财计划产品说明书》中的条款约定。 </w:t>
      </w:r>
    </w:p>
    <w:p>
      <w:pPr>
        <w:widowControl/>
        <w:numPr>
          <w:ilvl w:val="0"/>
          <w:numId w:val="7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税收处理</w:t>
      </w:r>
    </w:p>
    <w:p>
      <w:pPr>
        <w:widowControl/>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违约责任及免责条款</w:t>
      </w:r>
    </w:p>
    <w:p>
      <w:pPr>
        <w:widowControl/>
        <w:numPr>
          <w:ilvl w:val="0"/>
          <w:numId w:val="78"/>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若因投资人原因导致司法或行政机构采取强制措施对其理财本金、收益进行部分或全部被扣划，均视投资者本人就全部理财本金违约进行了提前</w:t>
      </w:r>
      <w:r>
        <w:rPr>
          <w:rFonts w:hint="eastAsia" w:ascii="宋体" w:hAnsi="宋体"/>
          <w:color w:val="000000" w:themeColor="text1"/>
          <w:sz w:val="24"/>
          <w:highlight w:val="none"/>
          <w:lang w:eastAsia="zh-CN"/>
          <w14:textFill>
            <w14:solidFill>
              <w14:schemeClr w14:val="tx1"/>
            </w14:solidFill>
          </w14:textFill>
        </w:rPr>
        <w:t>赎回</w:t>
      </w:r>
      <w:r>
        <w:rPr>
          <w:rFonts w:hint="eastAsia" w:ascii="宋体" w:hAnsi="宋体"/>
          <w:color w:val="000000" w:themeColor="text1"/>
          <w:sz w:val="24"/>
          <w:highlight w:val="none"/>
          <w14:textFill>
            <w14:solidFill>
              <w14:schemeClr w14:val="tx1"/>
            </w14:solidFill>
          </w14:textFill>
        </w:rPr>
        <w:t>，本合同自动终止。因提前终止而产生的损失及相关费用由投资者承担。本合同前述情况终止的，理财本金不计付</w:t>
      </w:r>
      <w:r>
        <w:rPr>
          <w:rFonts w:hint="eastAsia" w:ascii="宋体" w:hAnsi="宋体"/>
          <w:color w:val="000000" w:themeColor="text1"/>
          <w:sz w:val="24"/>
          <w:highlight w:val="none"/>
          <w:lang w:eastAsia="zh-CN"/>
          <w14:textFill>
            <w14:solidFill>
              <w14:schemeClr w14:val="tx1"/>
            </w14:solidFill>
          </w14:textFill>
        </w:rPr>
        <w:t>赎回</w:t>
      </w:r>
      <w:r>
        <w:rPr>
          <w:rFonts w:hint="eastAsia" w:ascii="宋体" w:hAnsi="宋体"/>
          <w:color w:val="000000" w:themeColor="text1"/>
          <w:sz w:val="24"/>
          <w:highlight w:val="none"/>
          <w14:textFill>
            <w14:solidFill>
              <w14:schemeClr w14:val="tx1"/>
            </w14:solidFill>
          </w14:textFill>
        </w:rPr>
        <w:t>日前的理财收益，也不计付存款利息。</w:t>
      </w:r>
    </w:p>
    <w:p>
      <w:pPr>
        <w:widowControl/>
        <w:numPr>
          <w:ilvl w:val="0"/>
          <w:numId w:val="78"/>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8"/>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8"/>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8"/>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因国家有关法律、法规、规章、政策的修改或新的法律、法规、规章、政策颁布以及紧急措施的出台导致的风险及损失，管理人不承担责任。</w:t>
      </w:r>
    </w:p>
    <w:p>
      <w:pPr>
        <w:widowControl/>
        <w:numPr>
          <w:ilvl w:val="0"/>
          <w:numId w:val="78"/>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管理人若严格按照产品说明书相关规定进行投资运作，给投资者造成损失的，应免除管理人责任。</w:t>
      </w:r>
    </w:p>
    <w:p>
      <w:pPr>
        <w:widowControl/>
        <w:spacing w:line="360" w:lineRule="auto"/>
        <w:contextualSpacing/>
        <w:rPr>
          <w:rFonts w:ascii="宋体" w:hAnsi="宋体"/>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适用法律与争议解决</w:t>
      </w:r>
    </w:p>
    <w:p>
      <w:pPr>
        <w:widowControl/>
        <w:spacing w:line="360"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本合同适用</w:t>
      </w:r>
      <w:r>
        <w:rPr>
          <w:rFonts w:hint="eastAsia" w:ascii="宋体" w:hAnsi="宋体" w:cs="宋体"/>
          <w:bCs/>
          <w:color w:val="000000" w:themeColor="text1"/>
          <w:sz w:val="24"/>
          <w:highlight w:val="none"/>
          <w14:textFill>
            <w14:solidFill>
              <w14:schemeClr w14:val="tx1"/>
            </w14:solidFill>
          </w14:textFill>
        </w:rPr>
        <w:t>中华人民共和国（仅为明确本合同适用法律规则，不含香港特别行政区、澳门特别行政区及中国台湾地区）</w:t>
      </w:r>
      <w:r>
        <w:rPr>
          <w:rFonts w:hint="eastAsia" w:ascii="宋体" w:hAnsi="宋体"/>
          <w:color w:val="000000" w:themeColor="text1"/>
          <w:sz w:val="24"/>
          <w:highlight w:val="none"/>
          <w14:textFill>
            <w14:solidFill>
              <w14:schemeClr w14:val="tx1"/>
            </w14:solidFill>
          </w14:textFill>
        </w:rPr>
        <w:t>的法律和行政法规。本合同项下的及与之有关的一切争议，投资者与管理人双方应首先协商解决，协商不成的，应提交</w:t>
      </w:r>
      <w:r>
        <w:rPr>
          <w:rFonts w:hint="eastAsia" w:ascii="宋体" w:hAnsi="宋体"/>
          <w:color w:val="000000" w:themeColor="text1"/>
          <w:sz w:val="24"/>
          <w:highlight w:val="none"/>
          <w:lang w:val="en-US" w:eastAsia="zh-CN"/>
          <w14:textFill>
            <w14:solidFill>
              <w14:schemeClr w14:val="tx1"/>
            </w14:solidFill>
          </w14:textFill>
        </w:rPr>
        <w:t>被告人</w:t>
      </w:r>
      <w:r>
        <w:rPr>
          <w:rFonts w:hint="eastAsia" w:ascii="宋体" w:hAnsi="宋体"/>
          <w:color w:val="000000" w:themeColor="text1"/>
          <w:sz w:val="24"/>
          <w:highlight w:val="none"/>
          <w14:textFill>
            <w14:solidFill>
              <w14:schemeClr w14:val="tx1"/>
            </w14:solidFill>
          </w14:textFill>
        </w:rPr>
        <w:t>所在地人民法院司法裁决。诉讼期间，未涉及争议的条款仍需继续履行。</w:t>
      </w:r>
    </w:p>
    <w:p>
      <w:pPr>
        <w:spacing w:line="360" w:lineRule="auto"/>
        <w:ind w:left="482"/>
        <w:rPr>
          <w:b/>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协议生效和终止</w:t>
      </w:r>
    </w:p>
    <w:p>
      <w:pPr>
        <w:widowControl/>
        <w:numPr>
          <w:ilvl w:val="0"/>
          <w:numId w:val="79"/>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投资者和管理人双方认可本协议可以纸质或电子数据等形式提交、订立或确认。 </w:t>
      </w:r>
    </w:p>
    <w:p>
      <w:pPr>
        <w:widowControl/>
        <w:numPr>
          <w:ilvl w:val="0"/>
          <w:numId w:val="79"/>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本协议书以纸质书面形式订立的，自投资者</w:t>
      </w:r>
      <w:r>
        <w:rPr>
          <w:rFonts w:hint="eastAsia" w:ascii="宋体" w:hAnsi="宋体"/>
          <w:color w:val="000000" w:themeColor="text1"/>
          <w:sz w:val="24"/>
          <w:highlight w:val="none"/>
          <w:lang w:val="en-US" w:eastAsia="zh-CN"/>
          <w14:textFill>
            <w14:solidFill>
              <w14:schemeClr w14:val="tx1"/>
            </w14:solidFill>
          </w14:textFill>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themeColor="text1"/>
          <w:sz w:val="24"/>
          <w:highlight w:val="none"/>
          <w14:textFill>
            <w14:solidFill>
              <w14:schemeClr w14:val="tx1"/>
            </w14:solidFill>
          </w14:textFill>
        </w:rPr>
        <w:t>之后立即生效。协议一式</w:t>
      </w:r>
      <w:r>
        <w:rPr>
          <w:rFonts w:hint="eastAsia" w:ascii="宋体" w:hAnsi="宋体"/>
          <w:color w:val="000000" w:themeColor="text1"/>
          <w:sz w:val="24"/>
          <w:highlight w:val="none"/>
          <w:lang w:eastAsia="zh-CN"/>
          <w14:textFill>
            <w14:solidFill>
              <w14:schemeClr w14:val="tx1"/>
            </w14:solidFill>
          </w14:textFill>
        </w:rPr>
        <w:t>贰</w:t>
      </w:r>
      <w:r>
        <w:rPr>
          <w:rFonts w:hint="eastAsia" w:ascii="宋体" w:hAnsi="宋体"/>
          <w:color w:val="000000" w:themeColor="text1"/>
          <w:sz w:val="24"/>
          <w:highlight w:val="none"/>
          <w14:textFill>
            <w14:solidFill>
              <w14:schemeClr w14:val="tx1"/>
            </w14:solidFill>
          </w14:textFill>
        </w:rPr>
        <w:t>份，投资者和管理人双方各执</w:t>
      </w:r>
      <w:r>
        <w:rPr>
          <w:rFonts w:hint="eastAsia" w:ascii="宋体" w:hAnsi="宋体"/>
          <w:color w:val="000000" w:themeColor="text1"/>
          <w:sz w:val="24"/>
          <w:highlight w:val="none"/>
          <w:lang w:eastAsia="zh-CN"/>
          <w14:textFill>
            <w14:solidFill>
              <w14:schemeClr w14:val="tx1"/>
            </w14:solidFill>
          </w14:textFill>
        </w:rPr>
        <w:t>壹</w:t>
      </w:r>
      <w:r>
        <w:rPr>
          <w:rFonts w:hint="eastAsia" w:ascii="宋体" w:hAnsi="宋体"/>
          <w:color w:val="000000" w:themeColor="text1"/>
          <w:sz w:val="24"/>
          <w:highlight w:val="none"/>
          <w14:textFill>
            <w14:solidFill>
              <w14:schemeClr w14:val="tx1"/>
            </w14:solidFill>
          </w14:textFill>
        </w:rPr>
        <w:t xml:space="preserve">份，具有同等法律效力。 </w:t>
      </w:r>
    </w:p>
    <w:p>
      <w:pPr>
        <w:widowControl/>
        <w:numPr>
          <w:ilvl w:val="0"/>
          <w:numId w:val="79"/>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9"/>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themeColor="text1"/>
          <w:sz w:val="24"/>
          <w:highlight w:val="none"/>
          <w14:textFill>
            <w14:solidFill>
              <w14:schemeClr w14:val="tx1"/>
            </w14:solidFill>
          </w14:textFill>
        </w:rPr>
      </w:pPr>
    </w:p>
    <w:p>
      <w:pPr>
        <w:numPr>
          <w:ilvl w:val="0"/>
          <w:numId w:val="74"/>
        </w:numPr>
        <w:spacing w:line="360" w:lineRule="auto"/>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附则</w:t>
      </w:r>
    </w:p>
    <w:p>
      <w:pPr>
        <w:widowControl/>
        <w:numPr>
          <w:ilvl w:val="0"/>
          <w:numId w:val="80"/>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80"/>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如果由于任何原因使本合同下的任何条款或内容成为无效或被依法撤销，本合同其他条款或内容的合法性、有效性和可执行性不受影响。</w:t>
      </w:r>
    </w:p>
    <w:p>
      <w:pPr>
        <w:widowControl/>
        <w:numPr>
          <w:ilvl w:val="0"/>
          <w:numId w:val="80"/>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pStyle w:val="9"/>
        <w:widowControl/>
        <w:spacing w:line="360" w:lineRule="auto"/>
        <w:jc w:val="right"/>
        <w:rPr>
          <w:rFonts w:hint="eastAsia" w:ascii="宋体" w:hAnsi="Wingdings"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杭银理财有限责任公司</w:t>
      </w:r>
    </w:p>
    <w:p>
      <w:pPr>
        <w:spacing w:line="360" w:lineRule="auto"/>
        <w:rPr>
          <w:rFonts w:ascii="宋体" w:hAnsi="宋体" w:cs="宋体"/>
          <w:bCs/>
          <w:color w:val="000000" w:themeColor="text1"/>
          <w:sz w:val="24"/>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p>
      <w:pPr>
        <w:jc w:val="center"/>
        <w:outlineLvl w:val="9"/>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pPr>
    </w:p>
    <w:p>
      <w:pPr>
        <w:spacing w:line="360" w:lineRule="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本页为纸质形式（如有）</w:t>
      </w:r>
      <w:r>
        <w:rPr>
          <w:rFonts w:hint="eastAsia" w:ascii="宋体" w:hAnsi="宋体"/>
          <w:color w:val="000000" w:themeColor="text1"/>
          <w:sz w:val="24"/>
          <w:highlight w:val="none"/>
          <w:lang w:val="en-US" w:eastAsia="zh-CN"/>
          <w14:textFill>
            <w14:solidFill>
              <w14:schemeClr w14:val="tx1"/>
            </w14:solidFill>
          </w14:textFill>
        </w:rPr>
        <w:t>投资</w:t>
      </w:r>
      <w:r>
        <w:rPr>
          <w:rFonts w:hint="eastAsia" w:ascii="宋体" w:hAnsi="宋体"/>
          <w:color w:val="000000" w:themeColor="text1"/>
          <w:sz w:val="24"/>
          <w:highlight w:val="none"/>
          <w14:textFill>
            <w14:solidFill>
              <w14:schemeClr w14:val="tx1"/>
            </w14:solidFill>
          </w14:textFill>
        </w:rPr>
        <w:t>协议书签章页</w:t>
      </w: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投资者（签字</w:t>
      </w:r>
      <w:r>
        <w:rPr>
          <w:rFonts w:hint="eastAsia" w:ascii="宋体" w:hAnsi="宋体" w:eastAsia="宋体" w:cs="黑体"/>
          <w:b/>
          <w:bCs/>
          <w:color w:val="000000" w:themeColor="text1"/>
          <w:sz w:val="24"/>
          <w:highlight w:val="none"/>
          <w:lang w:eastAsia="zh-CN"/>
          <w14:textFill>
            <w14:solidFill>
              <w14:schemeClr w14:val="tx1"/>
            </w14:solidFill>
          </w14:textFill>
        </w:rPr>
        <w:t>或签章</w:t>
      </w:r>
      <w:r>
        <w:rPr>
          <w:rFonts w:hint="eastAsia" w:ascii="宋体" w:hAnsi="宋体"/>
          <w:b/>
          <w:bCs/>
          <w:color w:val="000000" w:themeColor="text1"/>
          <w:sz w:val="24"/>
          <w:highlight w:val="none"/>
          <w14:textFill>
            <w14:solidFill>
              <w14:schemeClr w14:val="tx1"/>
            </w14:solidFill>
          </w14:textFill>
        </w:rPr>
        <w:t>）：</w:t>
      </w:r>
    </w:p>
    <w:p>
      <w:pPr>
        <w:spacing w:line="360" w:lineRule="auto"/>
        <w:outlineLvl w:val="9"/>
        <w:rPr>
          <w:rFonts w:hint="eastAsia" w:ascii="宋体" w:hAnsi="宋体"/>
          <w:b/>
          <w:bCs/>
          <w:color w:val="000000" w:themeColor="text1"/>
          <w:sz w:val="24"/>
          <w:highlight w:val="none"/>
          <w14:textFill>
            <w14:solidFill>
              <w14:schemeClr w14:val="tx1"/>
            </w14:solidFill>
          </w14:textFill>
        </w:rPr>
      </w:pPr>
    </w:p>
    <w:p>
      <w:pPr>
        <w:spacing w:line="360" w:lineRule="auto"/>
        <w:outlineLvl w:val="9"/>
        <w:rPr>
          <w:rFonts w:hint="eastAsia" w:ascii="宋体" w:hAnsi="宋体"/>
          <w:b/>
          <w:bCs/>
          <w:color w:val="000000" w:themeColor="text1"/>
          <w:sz w:val="24"/>
          <w:highlight w:val="none"/>
          <w14:textFill>
            <w14:solidFill>
              <w14:schemeClr w14:val="tx1"/>
            </w14:solidFill>
          </w14:textFill>
        </w:rPr>
      </w:pPr>
    </w:p>
    <w:p>
      <w:pPr>
        <w:spacing w:before="156" w:beforeLines="50" w:after="156" w:afterLines="50" w:line="360" w:lineRule="auto"/>
        <w:ind w:firstLine="4800" w:firstLineChars="2000"/>
        <w:jc w:val="right"/>
        <w:outlineLvl w:val="9"/>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jc w:val="left"/>
        <w:outlineLvl w:val="9"/>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pPr>
    </w:p>
    <w:p>
      <w:pPr>
        <w:jc w:val="center"/>
        <w:outlineLvl w:val="0"/>
        <w:rPr>
          <w:rFonts w:hint="eastAsia" w:ascii="Calibri" w:hAnsi="Calibri" w:eastAsia="宋体" w:cs="黑体"/>
          <w:b/>
          <w:bCs w:val="0"/>
          <w:color w:val="000000" w:themeColor="text1"/>
          <w:sz w:val="44"/>
          <w:szCs w:val="44"/>
          <w:highlight w:val="none"/>
          <w14:textFill>
            <w14:solidFill>
              <w14:schemeClr w14:val="tx1"/>
            </w14:solidFill>
          </w14:textFill>
        </w:rPr>
      </w:pPr>
      <w:r>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br w:type="page"/>
      </w:r>
      <w:r>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t>杭银理财理财计</w:t>
      </w:r>
      <w:bookmarkStart w:id="5" w:name="_GoBack"/>
      <w:bookmarkEnd w:id="5"/>
      <w:r>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t>划</w:t>
      </w:r>
      <w:r>
        <w:rPr>
          <w:rFonts w:hint="eastAsia" w:ascii="Calibri" w:hAnsi="Calibri" w:eastAsia="宋体" w:cs="黑体"/>
          <w:b/>
          <w:bCs w:val="0"/>
          <w:color w:val="000000" w:themeColor="text1"/>
          <w:sz w:val="44"/>
          <w:szCs w:val="44"/>
          <w:highlight w:val="none"/>
          <w14:textFill>
            <w14:solidFill>
              <w14:schemeClr w14:val="tx1"/>
            </w14:solidFill>
          </w14:textFill>
        </w:rPr>
        <w:t>销售协议书</w:t>
      </w:r>
    </w:p>
    <w:p>
      <w:pPr>
        <w:jc w:val="center"/>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202501</w:t>
      </w:r>
      <w:r>
        <w:rPr>
          <w:rFonts w:hint="eastAsia" w:ascii="宋体" w:hAnsi="宋体" w:eastAsia="宋体" w:cs="宋体"/>
          <w:color w:val="000000" w:themeColor="text1"/>
          <w:sz w:val="28"/>
          <w:szCs w:val="28"/>
          <w:highlight w:val="none"/>
          <w14:textFill>
            <w14:solidFill>
              <w14:schemeClr w14:val="tx1"/>
            </w14:solidFill>
          </w14:textFill>
        </w:rPr>
        <w:t>版）</w:t>
      </w:r>
    </w:p>
    <w:p>
      <w:pPr>
        <w:spacing w:line="360" w:lineRule="auto"/>
        <w:jc w:val="center"/>
        <w:rPr>
          <w:rFonts w:hint="default"/>
          <w:color w:val="000000" w:themeColor="text1"/>
          <w:sz w:val="32"/>
          <w:szCs w:val="40"/>
          <w:highlight w:val="none"/>
          <w:lang w:val="en-US" w:eastAsia="zh-CN"/>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themeColor="text1"/>
          <w:sz w:val="24"/>
          <w:highlight w:val="none"/>
          <w14:textFill>
            <w14:solidFill>
              <w14:schemeClr w14:val="tx1"/>
            </w14:solidFill>
          </w14:textFill>
        </w:rPr>
      </w:pPr>
      <w:r>
        <w:rPr>
          <w:rFonts w:hint="eastAsia" w:ascii="Calibri" w:hAnsi="Calibri" w:eastAsia="宋体" w:cs="黑体"/>
          <w:b/>
          <w:bCs/>
          <w:color w:val="000000" w:themeColor="text1"/>
          <w:sz w:val="24"/>
          <w:highlight w:val="none"/>
          <w14:textFill>
            <w14:solidFill>
              <w14:schemeClr w14:val="tx1"/>
            </w14:solidFill>
          </w14:textFill>
        </w:rPr>
        <w:t>特别提示：</w:t>
      </w:r>
      <w:r>
        <w:rPr>
          <w:rFonts w:hint="eastAsia" w:ascii="Calibri" w:hAnsi="Calibri" w:eastAsia="宋体" w:cs="黑体"/>
          <w:b/>
          <w:bCs/>
          <w:color w:val="000000" w:themeColor="text1"/>
          <w:sz w:val="24"/>
          <w:highlight w:val="none"/>
          <w:lang w:eastAsia="zh-CN"/>
          <w14:textFill>
            <w14:solidFill>
              <w14:schemeClr w14:val="tx1"/>
            </w14:solidFill>
          </w14:textFill>
        </w:rPr>
        <w:t>《</w:t>
      </w:r>
      <w:r>
        <w:rPr>
          <w:rFonts w:hint="eastAsia" w:ascii="Calibri" w:hAnsi="Calibri" w:eastAsia="宋体" w:cs="黑体"/>
          <w:b/>
          <w:bCs/>
          <w:color w:val="000000" w:themeColor="text1"/>
          <w:sz w:val="24"/>
          <w:highlight w:val="none"/>
          <w14:textFill>
            <w14:solidFill>
              <w14:schemeClr w14:val="tx1"/>
            </w14:solidFill>
          </w14:textFill>
        </w:rPr>
        <w:t>杭银理财</w:t>
      </w:r>
      <w:r>
        <w:rPr>
          <w:rFonts w:hint="eastAsia" w:ascii="Calibri" w:hAnsi="Calibri" w:eastAsia="宋体" w:cs="黑体"/>
          <w:b/>
          <w:bCs/>
          <w:color w:val="000000" w:themeColor="text1"/>
          <w:sz w:val="24"/>
          <w:highlight w:val="none"/>
          <w:lang w:val="en-US" w:eastAsia="zh-CN"/>
          <w14:textFill>
            <w14:solidFill>
              <w14:schemeClr w14:val="tx1"/>
            </w14:solidFill>
          </w14:textFill>
        </w:rPr>
        <w:t>理财计划销售协议书</w:t>
      </w:r>
      <w:r>
        <w:rPr>
          <w:rFonts w:hint="eastAsia" w:ascii="宋体" w:hAnsi="宋体" w:eastAsia="宋体" w:cs="宋体"/>
          <w:b/>
          <w:bCs/>
          <w:color w:val="000000" w:themeColor="text1"/>
          <w:sz w:val="24"/>
          <w:highlight w:val="none"/>
          <w:lang w:val="en-US" w:eastAsia="zh-CN"/>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01版）</w:t>
      </w:r>
      <w:r>
        <w:rPr>
          <w:rFonts w:hint="eastAsia" w:ascii="Calibri" w:hAnsi="Calibri" w:eastAsia="宋体" w:cs="黑体"/>
          <w:b/>
          <w:bCs/>
          <w:color w:val="000000" w:themeColor="text1"/>
          <w:sz w:val="24"/>
          <w:highlight w:val="none"/>
          <w:lang w:eastAsia="zh-CN"/>
          <w14:textFill>
            <w14:solidFill>
              <w14:schemeClr w14:val="tx1"/>
            </w14:solidFill>
          </w14:textFill>
        </w:rPr>
        <w:t>》</w:t>
      </w:r>
      <w:r>
        <w:rPr>
          <w:rFonts w:hint="eastAsia" w:ascii="Calibri" w:hAnsi="Calibri" w:eastAsia="宋体" w:cs="黑体"/>
          <w:b/>
          <w:bCs/>
          <w:color w:val="000000" w:themeColor="text1"/>
          <w:sz w:val="24"/>
          <w:highlight w:val="none"/>
          <w:lang w:val="en-US" w:eastAsia="zh-CN"/>
          <w14:textFill>
            <w14:solidFill>
              <w14:schemeClr w14:val="tx1"/>
            </w14:solidFill>
          </w14:textFill>
        </w:rPr>
        <w:t>与对应期次的</w:t>
      </w:r>
      <w:r>
        <w:rPr>
          <w:rFonts w:hint="eastAsia" w:eastAsia="宋体" w:cs="黑体"/>
          <w:b/>
          <w:bCs/>
          <w:color w:val="000000" w:themeColor="text1"/>
          <w:sz w:val="24"/>
          <w:highlight w:val="none"/>
          <w:lang w:val="en-US" w:eastAsia="zh-CN"/>
          <w14:textFill>
            <w14:solidFill>
              <w14:schemeClr w14:val="tx1"/>
            </w14:solidFill>
          </w14:textFill>
        </w:rPr>
        <w:t>理财计划风险揭示书、理财计划产品说明书、投资者权益须知及</w:t>
      </w:r>
      <w:r>
        <w:rPr>
          <w:rFonts w:hint="eastAsia" w:ascii="Calibri" w:hAnsi="Calibri" w:eastAsia="宋体" w:cs="黑体"/>
          <w:b/>
          <w:bCs/>
          <w:color w:val="000000" w:themeColor="text1"/>
          <w:sz w:val="24"/>
          <w:highlight w:val="none"/>
          <w14:textFill>
            <w14:solidFill>
              <w14:schemeClr w14:val="tx1"/>
            </w14:solidFill>
          </w14:textFill>
        </w:rPr>
        <w:t>理财计划投资协议书共同构成完整且不可分割的理财计划</w:t>
      </w:r>
      <w:r>
        <w:rPr>
          <w:rFonts w:hint="eastAsia" w:ascii="Calibri" w:hAnsi="Calibri" w:eastAsia="宋体" w:cs="黑体"/>
          <w:b/>
          <w:bCs/>
          <w:color w:val="000000" w:themeColor="text1"/>
          <w:sz w:val="24"/>
          <w:highlight w:val="none"/>
          <w:lang w:val="en-US" w:eastAsia="zh-CN"/>
          <w14:textFill>
            <w14:solidFill>
              <w14:schemeClr w14:val="tx1"/>
            </w14:solidFill>
          </w14:textFill>
        </w:rPr>
        <w:t>合同</w:t>
      </w:r>
      <w:r>
        <w:rPr>
          <w:rFonts w:hint="eastAsia" w:ascii="Calibri" w:hAnsi="Calibri" w:eastAsia="宋体" w:cs="黑体"/>
          <w:b/>
          <w:bCs/>
          <w:color w:val="000000" w:themeColor="text1"/>
          <w:sz w:val="24"/>
          <w:highlight w:val="none"/>
          <w14:textFill>
            <w14:solidFill>
              <w14:schemeClr w14:val="tx1"/>
            </w14:solidFill>
          </w14:textFill>
        </w:rPr>
        <w:t>。杭银理财有限责任公司（以下简称“杭银理财”）建议投资者在购买理财计划前认真阅读</w:t>
      </w:r>
      <w:r>
        <w:rPr>
          <w:rFonts w:hint="eastAsia" w:ascii="Calibri" w:hAnsi="Calibri" w:eastAsia="宋体" w:cs="黑体"/>
          <w:b/>
          <w:bCs/>
          <w:color w:val="000000" w:themeColor="text1"/>
          <w:sz w:val="24"/>
          <w:highlight w:val="none"/>
          <w:lang w:val="en-US" w:eastAsia="zh-CN"/>
          <w14:textFill>
            <w14:solidFill>
              <w14:schemeClr w14:val="tx1"/>
            </w14:solidFill>
          </w14:textFill>
        </w:rPr>
        <w:t>全套</w:t>
      </w:r>
      <w:r>
        <w:rPr>
          <w:rFonts w:hint="eastAsia" w:ascii="Calibri" w:hAnsi="Calibri" w:eastAsia="宋体" w:cs="黑体"/>
          <w:b/>
          <w:bCs/>
          <w:color w:val="000000" w:themeColor="text1"/>
          <w:sz w:val="24"/>
          <w:highlight w:val="none"/>
          <w14:textFill>
            <w14:solidFill>
              <w14:schemeClr w14:val="tx1"/>
            </w14:solidFill>
          </w14:textFill>
        </w:rPr>
        <w:t>理财计划</w:t>
      </w:r>
      <w:r>
        <w:rPr>
          <w:rFonts w:hint="eastAsia" w:ascii="Calibri" w:hAnsi="Calibri" w:eastAsia="宋体" w:cs="黑体"/>
          <w:b/>
          <w:bCs/>
          <w:color w:val="000000" w:themeColor="text1"/>
          <w:sz w:val="24"/>
          <w:highlight w:val="none"/>
          <w:lang w:val="en-US" w:eastAsia="zh-CN"/>
          <w14:textFill>
            <w14:solidFill>
              <w14:schemeClr w14:val="tx1"/>
            </w14:solidFill>
          </w14:textFill>
        </w:rPr>
        <w:t>合同</w:t>
      </w:r>
      <w:r>
        <w:rPr>
          <w:rFonts w:hint="eastAsia" w:ascii="Calibri" w:hAnsi="Calibri" w:eastAsia="宋体" w:cs="黑体"/>
          <w:b/>
          <w:bCs/>
          <w:color w:val="000000" w:themeColor="text1"/>
          <w:sz w:val="24"/>
          <w:highlight w:val="none"/>
          <w14:textFill>
            <w14:solidFill>
              <w14:schemeClr w14:val="tx1"/>
            </w14:solidFill>
          </w14:textFill>
        </w:rPr>
        <w:t>，投资者签署</w:t>
      </w:r>
      <w:r>
        <w:rPr>
          <w:rFonts w:hint="eastAsia" w:ascii="Calibri" w:hAnsi="Calibri" w:eastAsia="宋体" w:cs="黑体"/>
          <w:b/>
          <w:bCs/>
          <w:color w:val="000000" w:themeColor="text1"/>
          <w:sz w:val="24"/>
          <w:highlight w:val="none"/>
          <w:lang w:val="en-US" w:eastAsia="zh-CN"/>
          <w14:textFill>
            <w14:solidFill>
              <w14:schemeClr w14:val="tx1"/>
            </w14:solidFill>
          </w14:textFill>
        </w:rPr>
        <w:t>本</w:t>
      </w:r>
      <w:r>
        <w:rPr>
          <w:rFonts w:hint="eastAsia" w:ascii="Calibri" w:hAnsi="Calibri" w:eastAsia="宋体" w:cs="黑体"/>
          <w:b/>
          <w:bCs/>
          <w:color w:val="000000" w:themeColor="text1"/>
          <w:sz w:val="24"/>
          <w:highlight w:val="none"/>
          <w14:textFill>
            <w14:solidFill>
              <w14:schemeClr w14:val="tx1"/>
            </w14:solidFill>
          </w14:textFill>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themeColor="text1"/>
          <w:sz w:val="24"/>
          <w:highlight w:val="none"/>
          <w:lang w:val="en-US" w:eastAsia="zh-CN"/>
          <w14:textFill>
            <w14:solidFill>
              <w14:schemeClr w14:val="tx1"/>
            </w14:solidFill>
          </w14:textFill>
        </w:rPr>
      </w:pPr>
      <w:r>
        <w:rPr>
          <w:rFonts w:hint="eastAsia" w:ascii="Calibri" w:hAnsi="Calibri" w:eastAsia="宋体" w:cs="黑体"/>
          <w:b/>
          <w:bCs/>
          <w:color w:val="000000" w:themeColor="text1"/>
          <w:sz w:val="24"/>
          <w:highlight w:val="none"/>
          <w:lang w:val="en-US" w:eastAsia="zh-CN"/>
          <w14:textFill>
            <w14:solidFill>
              <w14:schemeClr w14:val="tx1"/>
            </w14:solidFill>
          </w14:textFill>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r>
        <w:rPr>
          <w:rFonts w:hint="eastAsia" w:ascii="Calibri" w:hAnsi="Calibri" w:eastAsia="宋体" w:cs="黑体"/>
          <w:color w:val="000000" w:themeColor="text1"/>
          <w:sz w:val="24"/>
          <w:highlight w:val="none"/>
          <w:lang w:val="en-US" w:eastAsia="zh-CN"/>
          <w14:textFill>
            <w14:solidFill>
              <w14:schemeClr w14:val="tx1"/>
            </w14:solidFill>
          </w14:textFill>
        </w:rPr>
        <w:t>理财计划销售的相关法律主体为发行理财计划的理财公司、</w:t>
      </w:r>
      <w:r>
        <w:rPr>
          <w:rFonts w:hint="eastAsia" w:eastAsia="宋体" w:cs="黑体"/>
          <w:color w:val="000000" w:themeColor="text1"/>
          <w:sz w:val="24"/>
          <w:highlight w:val="none"/>
          <w:lang w:val="en-US" w:eastAsia="zh-CN"/>
          <w14:textFill>
            <w14:solidFill>
              <w14:schemeClr w14:val="tx1"/>
            </w14:solidFill>
          </w14:textFill>
        </w:rPr>
        <w:t>理财公司自有销售渠道以及</w:t>
      </w:r>
      <w:r>
        <w:rPr>
          <w:rFonts w:hint="eastAsia" w:ascii="Calibri" w:hAnsi="Calibri" w:eastAsia="宋体" w:cs="黑体"/>
          <w:color w:val="000000" w:themeColor="text1"/>
          <w:sz w:val="24"/>
          <w:highlight w:val="none"/>
          <w:lang w:val="en-US" w:eastAsia="zh-CN"/>
          <w14:textFill>
            <w14:solidFill>
              <w14:schemeClr w14:val="tx1"/>
            </w14:solidFill>
          </w14:textFill>
        </w:rPr>
        <w:t>接受理财公司委托销售其发行理财计划的代理销售机构（以下简称“销售机构”）和投资者三方。理财公司是理财计划的设计发行方与管理人，</w:t>
      </w:r>
      <w:r>
        <w:rPr>
          <w:rFonts w:hint="eastAsia" w:eastAsia="宋体" w:cs="黑体"/>
          <w:color w:val="000000" w:themeColor="text1"/>
          <w:sz w:val="24"/>
          <w:highlight w:val="none"/>
          <w:lang w:val="en-US" w:eastAsia="zh-CN"/>
          <w14:textFill>
            <w14:solidFill>
              <w14:schemeClr w14:val="tx1"/>
            </w14:solidFill>
          </w14:textFill>
        </w:rPr>
        <w:t>理财公司和</w:t>
      </w:r>
      <w:r>
        <w:rPr>
          <w:rFonts w:hint="eastAsia" w:ascii="Calibri" w:hAnsi="Calibri" w:eastAsia="宋体" w:cs="黑体"/>
          <w:color w:val="000000" w:themeColor="text1"/>
          <w:sz w:val="24"/>
          <w:highlight w:val="none"/>
          <w:lang w:val="en-US" w:eastAsia="zh-CN"/>
          <w14:textFill>
            <w14:solidFill>
              <w14:schemeClr w14:val="tx1"/>
            </w14:solidFill>
          </w14:textFill>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r>
        <w:rPr>
          <w:rFonts w:hint="eastAsia" w:ascii="Calibri" w:hAnsi="Calibri" w:eastAsia="宋体" w:cs="黑体"/>
          <w:color w:val="000000" w:themeColor="text1"/>
          <w:sz w:val="24"/>
          <w:highlight w:val="none"/>
          <w:lang w:val="en-US" w:eastAsia="zh-CN"/>
          <w14:textFill>
            <w14:solidFill>
              <w14:schemeClr w14:val="tx1"/>
            </w14:solidFill>
          </w14:textFill>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第一条 </w:t>
      </w:r>
      <w:r>
        <w:rPr>
          <w:rFonts w:hint="eastAsia" w:ascii="Calibri" w:hAnsi="Calibri" w:eastAsia="宋体" w:cs="黑体"/>
          <w:b/>
          <w:bCs/>
          <w:color w:val="000000" w:themeColor="text1"/>
          <w:sz w:val="24"/>
          <w:highlight w:val="none"/>
          <w:lang w:val="en-US" w:eastAsia="zh-CN"/>
          <w14:textFill>
            <w14:solidFill>
              <w14:schemeClr w14:val="tx1"/>
            </w14:solidFill>
          </w14:textFill>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themeColor="text1"/>
          <w:sz w:val="24"/>
          <w:highlight w:val="none"/>
          <w:lang w:val="en-US" w:eastAsia="zh-CN"/>
          <w14:textFill>
            <w14:solidFill>
              <w14:schemeClr w14:val="tx1"/>
            </w14:solidFill>
          </w14:textFill>
        </w:rPr>
      </w:pPr>
      <w:r>
        <w:rPr>
          <w:rFonts w:hint="eastAsia" w:ascii="Calibri" w:hAnsi="Calibri" w:eastAsia="宋体" w:cs="黑体"/>
          <w:bCs/>
          <w:color w:val="000000" w:themeColor="text1"/>
          <w:sz w:val="24"/>
          <w:highlight w:val="none"/>
          <w:lang w:val="en-US" w:eastAsia="zh-CN"/>
          <w14:textFill>
            <w14:solidFill>
              <w14:schemeClr w14:val="tx1"/>
            </w14:solidFill>
          </w14:textFill>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第二条 </w:t>
      </w:r>
      <w:r>
        <w:rPr>
          <w:rFonts w:hint="eastAsia" w:ascii="Calibri" w:hAnsi="Calibri" w:eastAsia="宋体" w:cs="黑体"/>
          <w:b/>
          <w:bCs/>
          <w:color w:val="000000" w:themeColor="text1"/>
          <w:sz w:val="24"/>
          <w:highlight w:val="none"/>
          <w:lang w:val="en-US" w:eastAsia="zh-CN"/>
          <w14:textFill>
            <w14:solidFill>
              <w14:schemeClr w14:val="tx1"/>
            </w14:solidFill>
          </w14:textFill>
        </w:rPr>
        <w:t>投资者权利与义务</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themeColor="text1"/>
          <w:kern w:val="2"/>
          <w:sz w:val="24"/>
          <w:highlight w:val="none"/>
          <w14:textFill>
            <w14:solidFill>
              <w14:schemeClr w14:val="tx1"/>
            </w14:solidFill>
          </w14:textFill>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投资者保证自身完全了解理财投资的性质，投资所涉及的风险以及自身风险承受能力，在慎重考虑后独立作出交易决定。</w:t>
      </w:r>
    </w:p>
    <w:p>
      <w:pPr>
        <w:widowControl/>
        <w:numPr>
          <w:ilvl w:val="0"/>
          <w:numId w:val="81"/>
        </w:numPr>
        <w:spacing w:line="360" w:lineRule="auto"/>
        <w:ind w:left="0" w:leftChars="0" w:firstLine="482"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投资者购买</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lang w:eastAsia="zh-CN"/>
          <w14:textFill>
            <w14:solidFill>
              <w14:schemeClr w14:val="tx1"/>
            </w14:solidFill>
          </w14:textFill>
        </w:rPr>
        <w:t>代理销售</w:t>
      </w:r>
      <w:r>
        <w:rPr>
          <w:rFonts w:hint="eastAsia" w:ascii="宋体" w:hAnsi="宋体" w:eastAsia="宋体" w:cs="黑体"/>
          <w:b/>
          <w:bCs/>
          <w:color w:val="000000" w:themeColor="text1"/>
          <w:sz w:val="24"/>
          <w:highlight w:val="none"/>
          <w14:textFill>
            <w14:solidFill>
              <w14:schemeClr w14:val="tx1"/>
            </w14:solidFill>
          </w14:textFill>
        </w:rPr>
        <w:t>的私募</w:t>
      </w:r>
      <w:r>
        <w:rPr>
          <w:rFonts w:hint="eastAsia" w:ascii="宋体" w:hAnsi="宋体" w:eastAsia="宋体" w:cs="黑体"/>
          <w:b/>
          <w:bCs/>
          <w:color w:val="000000" w:themeColor="text1"/>
          <w:sz w:val="24"/>
          <w:highlight w:val="none"/>
          <w:lang w:eastAsia="zh-CN"/>
          <w14:textFill>
            <w14:solidFill>
              <w14:schemeClr w14:val="tx1"/>
            </w14:solidFill>
          </w14:textFill>
        </w:rPr>
        <w:t>理财计划</w:t>
      </w:r>
      <w:r>
        <w:rPr>
          <w:rFonts w:hint="eastAsia" w:ascii="宋体" w:hAnsi="宋体" w:eastAsia="宋体" w:cs="黑体"/>
          <w:b/>
          <w:bCs/>
          <w:color w:val="000000" w:themeColor="text1"/>
          <w:sz w:val="24"/>
          <w:highlight w:val="none"/>
          <w14:textFill>
            <w14:solidFill>
              <w14:schemeClr w14:val="tx1"/>
            </w14:solidFill>
          </w14:textFill>
        </w:rPr>
        <w:t>后，可以享有24 小时的投资冷静期，在投资冷静期内，如</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改变投资决定，应提出解除相应理财</w:t>
      </w:r>
      <w:r>
        <w:rPr>
          <w:rFonts w:hint="eastAsia" w:ascii="宋体" w:hAnsi="宋体" w:eastAsia="宋体" w:cs="黑体"/>
          <w:b/>
          <w:bCs/>
          <w:color w:val="000000" w:themeColor="text1"/>
          <w:sz w:val="24"/>
          <w:highlight w:val="none"/>
          <w:lang w:val="en-US" w:eastAsia="zh-CN"/>
          <w14:textFill>
            <w14:solidFill>
              <w14:schemeClr w14:val="tx1"/>
            </w14:solidFill>
          </w14:textFill>
        </w:rPr>
        <w:t>计划合同</w:t>
      </w:r>
      <w:r>
        <w:rPr>
          <w:rFonts w:hint="eastAsia" w:ascii="宋体" w:hAnsi="宋体" w:eastAsia="宋体" w:cs="黑体"/>
          <w:b/>
          <w:bCs/>
          <w:color w:val="000000" w:themeColor="text1"/>
          <w:sz w:val="24"/>
          <w:highlight w:val="none"/>
          <w14:textFill>
            <w14:solidFill>
              <w14:schemeClr w14:val="tx1"/>
            </w14:solidFill>
          </w14:textFill>
        </w:rPr>
        <w:t>文件申请，</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14:textFill>
            <w14:solidFill>
              <w14:schemeClr w14:val="tx1"/>
            </w14:solidFill>
          </w14:textFill>
        </w:rPr>
        <w:t>将及时退还</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的全部投资款项。</w:t>
      </w:r>
      <w:r>
        <w:rPr>
          <w:rFonts w:hint="eastAsia" w:ascii="宋体" w:hAnsi="宋体" w:eastAsia="宋体" w:cs="黑体"/>
          <w:color w:val="000000" w:themeColor="text1"/>
          <w:sz w:val="24"/>
          <w:highlight w:val="none"/>
          <w14:textFill>
            <w14:solidFill>
              <w14:schemeClr w14:val="tx1"/>
            </w14:solidFill>
          </w14:textFill>
        </w:rPr>
        <w:t>投资冷静期相关约定详见</w:t>
      </w:r>
      <w:r>
        <w:rPr>
          <w:rFonts w:hint="eastAsia" w:ascii="宋体" w:hAnsi="宋体" w:eastAsia="宋体" w:cs="黑体"/>
          <w:color w:val="000000" w:themeColor="text1"/>
          <w:sz w:val="24"/>
          <w:highlight w:val="none"/>
          <w:lang w:val="en-US" w:eastAsia="zh-CN"/>
          <w14:textFill>
            <w14:solidFill>
              <w14:schemeClr w14:val="tx1"/>
            </w14:solidFill>
          </w14:textFill>
        </w:rPr>
        <w:t>理财计划产品</w:t>
      </w:r>
      <w:r>
        <w:rPr>
          <w:rFonts w:hint="eastAsia" w:ascii="宋体" w:hAnsi="宋体" w:eastAsia="宋体" w:cs="黑体"/>
          <w:color w:val="000000" w:themeColor="text1"/>
          <w:sz w:val="24"/>
          <w:highlight w:val="none"/>
          <w14:textFill>
            <w14:solidFill>
              <w14:schemeClr w14:val="tx1"/>
            </w14:solidFill>
          </w14:textFill>
        </w:rPr>
        <w:t>说明书</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投资者保证其有权利签署本协议和履行本协议所述的义务，并已为此采取一切所需的行为。</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投资者保证执行及交付任何文件或履行本协议项下的义务，均不会违反任何适用法律、法规、法令或法律限制</w:t>
      </w:r>
      <w:r>
        <w:rPr>
          <w:rFonts w:hint="eastAsia" w:ascii="宋体" w:hAnsi="宋体" w:eastAsia="宋体" w:cs="黑体"/>
          <w:color w:val="000000" w:themeColor="text1"/>
          <w:sz w:val="24"/>
          <w:highlight w:val="none"/>
          <w:lang w:eastAsia="zh-CN"/>
          <w14:textFill>
            <w14:solidFill>
              <w14:schemeClr w14:val="tx1"/>
            </w14:solidFill>
          </w14:textFill>
        </w:rPr>
        <w:t>；</w:t>
      </w:r>
      <w:r>
        <w:rPr>
          <w:rFonts w:hint="eastAsia" w:ascii="宋体" w:hAnsi="宋体" w:eastAsia="宋体" w:cs="黑体"/>
          <w:color w:val="000000" w:themeColor="text1"/>
          <w:sz w:val="24"/>
          <w:highlight w:val="none"/>
          <w14:textFill>
            <w14:solidFill>
              <w14:schemeClr w14:val="tx1"/>
            </w14:solidFill>
          </w14:textFill>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themeColor="text1"/>
          <w:sz w:val="24"/>
          <w:highlight w:val="none"/>
          <w:lang w:val="en-US" w:eastAsia="zh-CN"/>
          <w14:textFill>
            <w14:solidFill>
              <w14:schemeClr w14:val="tx1"/>
            </w14:solidFill>
          </w14:textFill>
        </w:rPr>
        <w:t>其</w:t>
      </w:r>
      <w:r>
        <w:rPr>
          <w:rFonts w:hint="eastAsia" w:ascii="宋体" w:hAnsi="宋体" w:eastAsia="宋体" w:cs="黑体"/>
          <w:color w:val="000000" w:themeColor="text1"/>
          <w:sz w:val="24"/>
          <w:highlight w:val="none"/>
          <w14:textFill>
            <w14:solidFill>
              <w14:schemeClr w14:val="tx1"/>
            </w14:solidFill>
          </w14:textFill>
        </w:rPr>
        <w:t>授权指定</w:t>
      </w:r>
      <w:r>
        <w:rPr>
          <w:rFonts w:hint="eastAsia" w:ascii="宋体" w:hAnsi="宋体" w:eastAsia="宋体" w:cs="黑体"/>
          <w:color w:val="000000" w:themeColor="text1"/>
          <w:sz w:val="24"/>
          <w:highlight w:val="none"/>
          <w:lang w:val="en-US" w:eastAsia="zh-CN"/>
          <w14:textFill>
            <w14:solidFill>
              <w14:schemeClr w14:val="tx1"/>
            </w14:solidFill>
          </w14:textFill>
        </w:rPr>
        <w:t>的</w:t>
      </w:r>
      <w:r>
        <w:rPr>
          <w:rFonts w:hint="eastAsia" w:ascii="宋体" w:hAnsi="宋体" w:eastAsia="宋体" w:cs="黑体"/>
          <w:color w:val="000000" w:themeColor="text1"/>
          <w:sz w:val="24"/>
          <w:highlight w:val="none"/>
          <w14:textFill>
            <w14:solidFill>
              <w14:schemeClr w14:val="tx1"/>
            </w14:solidFill>
          </w14:textFill>
        </w:rPr>
        <w:t>账户</w:t>
      </w:r>
      <w:r>
        <w:rPr>
          <w:rFonts w:hint="eastAsia" w:ascii="宋体" w:hAnsi="宋体" w:eastAsia="宋体" w:cs="黑体"/>
          <w:color w:val="000000" w:themeColor="text1"/>
          <w:sz w:val="24"/>
          <w:highlight w:val="none"/>
          <w:lang w:val="en-US" w:eastAsia="zh-CN"/>
          <w14:textFill>
            <w14:solidFill>
              <w14:schemeClr w14:val="tx1"/>
            </w14:solidFill>
          </w14:textFill>
        </w:rPr>
        <w:t>中（以下简称“授权指定账户”）</w:t>
      </w:r>
      <w:r>
        <w:rPr>
          <w:rFonts w:hint="eastAsia" w:ascii="宋体" w:hAnsi="宋体" w:eastAsia="宋体" w:cs="黑体"/>
          <w:color w:val="000000" w:themeColor="text1"/>
          <w:sz w:val="24"/>
          <w:highlight w:val="none"/>
          <w14:textFill>
            <w14:solidFill>
              <w14:schemeClr w14:val="tx1"/>
            </w14:solidFill>
          </w14:textFill>
        </w:rPr>
        <w:t>存入足额的资金以确保账户余额大于或等于认/申购金额。</w:t>
      </w:r>
    </w:p>
    <w:p>
      <w:pPr>
        <w:widowControl/>
        <w:numPr>
          <w:ilvl w:val="0"/>
          <w:numId w:val="81"/>
        </w:numPr>
        <w:spacing w:line="360" w:lineRule="auto"/>
        <w:ind w:left="0" w:leftChars="0" w:firstLine="482"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在此确认</w:t>
      </w:r>
      <w:r>
        <w:rPr>
          <w:rFonts w:hint="eastAsia" w:ascii="宋体" w:hAnsi="宋体" w:eastAsia="宋体" w:cs="黑体"/>
          <w:b/>
          <w:bCs/>
          <w:color w:val="000000" w:themeColor="text1"/>
          <w:sz w:val="24"/>
          <w:highlight w:val="none"/>
          <w:lang w:val="en-US" w:eastAsia="zh-CN"/>
          <w14:textFill>
            <w14:solidFill>
              <w14:schemeClr w14:val="tx1"/>
            </w14:solidFill>
          </w14:textFill>
        </w:rPr>
        <w:t>销售机构</w:t>
      </w:r>
      <w:r>
        <w:rPr>
          <w:rFonts w:hint="eastAsia" w:ascii="宋体" w:hAnsi="宋体" w:eastAsia="宋体" w:cs="黑体"/>
          <w:b/>
          <w:bCs/>
          <w:color w:val="000000" w:themeColor="text1"/>
          <w:sz w:val="24"/>
          <w:highlight w:val="none"/>
          <w14:textFill>
            <w14:solidFill>
              <w14:schemeClr w14:val="tx1"/>
            </w14:solidFill>
          </w14:textFill>
        </w:rPr>
        <w:t>的系统记录以及录音、录像构成对</w:t>
      </w:r>
      <w:r>
        <w:rPr>
          <w:rFonts w:hint="eastAsia" w:ascii="宋体" w:hAnsi="宋体" w:eastAsia="宋体" w:cs="黑体"/>
          <w:b/>
          <w:bCs/>
          <w:color w:val="000000" w:themeColor="text1"/>
          <w:sz w:val="24"/>
          <w:highlight w:val="none"/>
          <w:lang w:val="en-US" w:eastAsia="zh-CN"/>
          <w14:textFill>
            <w14:solidFill>
              <w14:schemeClr w14:val="tx1"/>
            </w14:solidFill>
          </w14:textFill>
        </w:rPr>
        <w:t>投资者</w:t>
      </w:r>
      <w:r>
        <w:rPr>
          <w:rFonts w:hint="eastAsia" w:ascii="宋体" w:hAnsi="宋体" w:eastAsia="宋体" w:cs="黑体"/>
          <w:b/>
          <w:bCs/>
          <w:color w:val="000000" w:themeColor="text1"/>
          <w:sz w:val="24"/>
          <w:highlight w:val="none"/>
          <w14:textFill>
            <w14:solidFill>
              <w14:schemeClr w14:val="tx1"/>
            </w14:solidFill>
          </w14:textFill>
        </w:rPr>
        <w:t>操作行为（包括但不限于购买、赎回、撤单）的有效证据，并且在</w:t>
      </w:r>
      <w:r>
        <w:rPr>
          <w:rFonts w:hint="eastAsia" w:ascii="宋体" w:hAnsi="宋体" w:eastAsia="宋体" w:cs="黑体"/>
          <w:b/>
          <w:bCs/>
          <w:color w:val="000000" w:themeColor="text1"/>
          <w:sz w:val="24"/>
          <w:highlight w:val="none"/>
          <w:lang w:val="en-US" w:eastAsia="zh-CN"/>
          <w14:textFill>
            <w14:solidFill>
              <w14:schemeClr w14:val="tx1"/>
            </w14:solidFill>
          </w14:textFill>
        </w:rPr>
        <w:t>双</w:t>
      </w:r>
      <w:r>
        <w:rPr>
          <w:rFonts w:hint="eastAsia" w:ascii="宋体" w:hAnsi="宋体" w:eastAsia="宋体" w:cs="黑体"/>
          <w:b/>
          <w:bCs/>
          <w:color w:val="000000" w:themeColor="text1"/>
          <w:sz w:val="24"/>
          <w:highlight w:val="none"/>
          <w14:textFill>
            <w14:solidFill>
              <w14:schemeClr w14:val="tx1"/>
            </w14:solidFill>
          </w14:textFill>
        </w:rPr>
        <w:t>方发生争议时可以作为合法有效的证据使用</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对此不承担任何责任。 </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在本理财计划存续期内，如有权机关要求</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配合对投资者理财份额、理财账户、授权指定账户进行查封、冻结或扣划的，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有权根据实际情况采取</w:t>
      </w:r>
      <w:r>
        <w:rPr>
          <w:rFonts w:hint="eastAsia" w:ascii="宋体" w:hAnsi="宋体" w:eastAsia="宋体" w:cs="黑体"/>
          <w:color w:val="000000" w:themeColor="text1"/>
          <w:sz w:val="24"/>
          <w:highlight w:val="none"/>
          <w:lang w:val="en-US" w:eastAsia="zh-CN"/>
          <w14:textFill>
            <w14:solidFill>
              <w14:schemeClr w14:val="tx1"/>
            </w14:solidFill>
          </w14:textFill>
        </w:rPr>
        <w:t>相应</w:t>
      </w:r>
      <w:r>
        <w:rPr>
          <w:rFonts w:hint="eastAsia" w:ascii="宋体" w:hAnsi="宋体" w:eastAsia="宋体" w:cs="黑体"/>
          <w:color w:val="000000" w:themeColor="text1"/>
          <w:sz w:val="24"/>
          <w:highlight w:val="none"/>
          <w14:textFill>
            <w14:solidFill>
              <w14:schemeClr w14:val="tx1"/>
            </w14:solidFill>
          </w14:textFill>
        </w:rPr>
        <w:t>措施。</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对上述后果不承担任何责任。 </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本协议终止前，投资者不得将授权指定账户销户。若发生因投资者注销授权指定账户造成理财计划无法正常兑付的，</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不承担任何责任。</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投资者应确保其提供的所有资料真实、完整、合法、有效，如果有任何变更，投资者应及时通知</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并办理变更手续。如因投资者未及时通知</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并办理相应的变更手续，由此导致的一切后果由投资者自行承担，</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对此不承担任何责任。 </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对本协议及其条款负有保密义务，未经</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书面许可，不得向任何组织、个人提供或泄露与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有关的业务资料及信息，但法律、法规另有规定的除外</w:t>
      </w:r>
      <w:r>
        <w:rPr>
          <w:rFonts w:hint="eastAsia" w:ascii="宋体" w:hAnsi="宋体" w:eastAsia="宋体" w:cs="黑体"/>
          <w:color w:val="000000" w:themeColor="text1"/>
          <w:sz w:val="24"/>
          <w:highlight w:val="none"/>
          <w:lang w:eastAsia="zh-CN"/>
          <w14:textFill>
            <w14:solidFill>
              <w14:schemeClr w14:val="tx1"/>
            </w14:solidFill>
          </w14:textFill>
        </w:rPr>
        <w:t>。</w:t>
      </w:r>
    </w:p>
    <w:p>
      <w:pPr>
        <w:widowControl/>
        <w:numPr>
          <w:ilvl w:val="0"/>
          <w:numId w:val="81"/>
        </w:numPr>
        <w:spacing w:line="360" w:lineRule="auto"/>
        <w:ind w:left="0" w:leftChars="0" w:firstLine="480" w:firstLineChars="200"/>
        <w:contextualSpacing/>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投资者进行投资时，应严格遵守反洗钱相关法规的规定，切实履行反洗钱及反恐怖融资义务。</w:t>
      </w:r>
    </w:p>
    <w:p>
      <w:pPr>
        <w:widowControl/>
        <w:numPr>
          <w:ilvl w:val="0"/>
          <w:numId w:val="81"/>
        </w:numPr>
        <w:spacing w:line="360" w:lineRule="auto"/>
        <w:ind w:left="0" w:leftChars="0" w:firstLine="482" w:firstLineChars="200"/>
        <w:contextualSpacing/>
        <w:outlineLvl w:val="2"/>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81"/>
        </w:numPr>
        <w:spacing w:line="360" w:lineRule="auto"/>
        <w:ind w:left="0" w:leftChars="0" w:firstLine="482" w:firstLineChars="200"/>
        <w:contextualSpacing/>
        <w:outlineLvl w:val="2"/>
        <w:rPr>
          <w:rFonts w:hint="eastAsia" w:ascii="宋体" w:hAnsi="宋体" w:eastAsia="宋体" w:cs="黑体"/>
          <w:b/>
          <w:bCs/>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投</w:t>
      </w:r>
      <w:r>
        <w:rPr>
          <w:rFonts w:hint="eastAsia" w:ascii="宋体" w:hAnsi="宋体"/>
          <w:b/>
          <w:bCs/>
          <w:color w:val="000000" w:themeColor="text1"/>
          <w:sz w:val="24"/>
          <w:highlight w:val="none"/>
          <w14:textFill>
            <w14:solidFill>
              <w14:schemeClr w14:val="tx1"/>
            </w14:solidFill>
          </w14:textFill>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第三条 </w:t>
      </w:r>
      <w:r>
        <w:rPr>
          <w:rFonts w:hint="eastAsia" w:ascii="Calibri" w:hAnsi="Calibri" w:eastAsia="宋体" w:cs="黑体"/>
          <w:b/>
          <w:bCs/>
          <w:color w:val="000000" w:themeColor="text1"/>
          <w:sz w:val="24"/>
          <w:highlight w:val="none"/>
          <w:lang w:val="en-US" w:eastAsia="zh-CN"/>
          <w14:textFill>
            <w14:solidFill>
              <w14:schemeClr w14:val="tx1"/>
            </w14:solidFill>
          </w14:textFill>
        </w:rPr>
        <w:t>销售机构的权利与义务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b/>
          <w:bCs/>
          <w:color w:val="000000" w:themeColor="text1"/>
          <w:sz w:val="24"/>
          <w:highlight w:val="none"/>
          <w:lang w:val="en-US" w:eastAsia="zh-CN"/>
          <w14:textFill>
            <w14:solidFill>
              <w14:schemeClr w14:val="tx1"/>
            </w14:solidFill>
          </w14:textFill>
        </w:rPr>
        <w:t>代理销售机构非本计划的发行、管理机构，对本计划的业绩不承担任何保证和其他经济责任，不承担本计划的投资、兑付和风险管理责任</w:t>
      </w:r>
      <w:r>
        <w:rPr>
          <w:rFonts w:hint="eastAsia" w:ascii="宋体" w:hAnsi="宋体" w:eastAsia="宋体" w:cs="黑体"/>
          <w:color w:val="000000" w:themeColor="text1"/>
          <w:sz w:val="24"/>
          <w:highlight w:val="none"/>
          <w:lang w:val="en-US" w:eastAsia="zh-CN"/>
          <w14:textFill>
            <w14:solidFill>
              <w14:schemeClr w14:val="tx1"/>
            </w14:solidFill>
          </w14:textFill>
        </w:rPr>
        <w:t>。</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第四条 </w:t>
      </w:r>
      <w:r>
        <w:rPr>
          <w:rFonts w:hint="eastAsia" w:ascii="Calibri" w:hAnsi="Calibri" w:eastAsia="宋体" w:cs="黑体"/>
          <w:b/>
          <w:bCs/>
          <w:color w:val="000000" w:themeColor="text1"/>
          <w:sz w:val="24"/>
          <w:highlight w:val="none"/>
          <w:lang w:val="en-US" w:eastAsia="zh-CN"/>
          <w14:textFill>
            <w14:solidFill>
              <w14:schemeClr w14:val="tx1"/>
            </w14:solidFill>
          </w14:textFill>
        </w:rPr>
        <w:t>理财计划认（申）购、赎回及终止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 xml:space="preserve">理财计划认/申购办理流程：参照投资者权益须知约定。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理财计划认/申购确认：管理人根据</w:t>
      </w:r>
      <w:r>
        <w:rPr>
          <w:rFonts w:hint="eastAsia" w:ascii="宋体" w:hAnsi="宋体" w:eastAsia="宋体" w:cs="黑体"/>
          <w:color w:val="000000" w:themeColor="text1"/>
          <w:sz w:val="24"/>
          <w:highlight w:val="none"/>
          <w:lang w:eastAsia="zh-CN"/>
          <w14:textFill>
            <w14:solidFill>
              <w14:schemeClr w14:val="tx1"/>
            </w14:solidFill>
          </w14:textFill>
        </w:rPr>
        <w:t>销售</w:t>
      </w:r>
      <w:r>
        <w:rPr>
          <w:rFonts w:hint="eastAsia" w:ascii="宋体" w:hAnsi="宋体" w:eastAsia="宋体" w:cs="黑体"/>
          <w:color w:val="000000" w:themeColor="text1"/>
          <w:sz w:val="24"/>
          <w:highlight w:val="none"/>
          <w14:textFill>
            <w14:solidFill>
              <w14:schemeClr w14:val="tx1"/>
            </w14:solidFill>
          </w14:textFill>
        </w:rPr>
        <w:t>渠道提供的交易信息及资金划付对投资者相应认/申购进行确认。</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 xml:space="preserve">理财计划投资品种、投资起点金额、收益支付方式：参照对应期次的理财计划产品说明书中的条款约定。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理财计划赎回/终止兑付：在正常情况下，管理人和</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themeColor="text1"/>
          <w:sz w:val="24"/>
          <w:highlight w:val="none"/>
          <w:lang w:val="en-US" w:eastAsia="zh-CN"/>
          <w14:textFill>
            <w14:solidFill>
              <w14:schemeClr w14:val="tx1"/>
            </w14:solidFill>
          </w14:textFill>
        </w:rPr>
        <w:t>理财计划</w:t>
      </w:r>
      <w:r>
        <w:rPr>
          <w:rFonts w:hint="eastAsia" w:ascii="宋体" w:hAnsi="宋体" w:eastAsia="宋体" w:cs="黑体"/>
          <w:color w:val="000000" w:themeColor="text1"/>
          <w:sz w:val="24"/>
          <w:highlight w:val="none"/>
          <w14:textFill>
            <w14:solidFill>
              <w14:schemeClr w14:val="tx1"/>
            </w14:solidFill>
          </w14:textFill>
        </w:rPr>
        <w:t>产品说明书约定管理人对理财计划进行延期或转换时，</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将于原约定清算日前通过信息披露途径及时通知，并根据实际情况进行后续处理。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资金清算：理财计划终止或份额赎回时，管理人按理财计划合同约定划付至</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清算账户后，由</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向投资者划付投资者应得资金。如因投资者清算账户余额不足，或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未及时足额划付资金，或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清算账户内资金被依法冻结或扣划，或</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清算账户处于被挂失、冻结、注销或其他非正常状态等原因而导致交易失败</w:t>
      </w:r>
      <w:r>
        <w:rPr>
          <w:rFonts w:hint="eastAsia" w:ascii="宋体" w:hAnsi="宋体" w:eastAsia="宋体" w:cs="黑体"/>
          <w:color w:val="000000" w:themeColor="text1"/>
          <w:sz w:val="24"/>
          <w:highlight w:val="none"/>
          <w:lang w:eastAsia="zh-CN"/>
          <w14:textFill>
            <w14:solidFill>
              <w14:schemeClr w14:val="tx1"/>
            </w14:solidFill>
          </w14:textFill>
        </w:rPr>
        <w:t>，</w:t>
      </w:r>
      <w:r>
        <w:rPr>
          <w:rFonts w:hint="eastAsia" w:ascii="宋体" w:hAnsi="宋体" w:eastAsia="宋体" w:cs="黑体"/>
          <w:color w:val="000000" w:themeColor="text1"/>
          <w:sz w:val="24"/>
          <w:highlight w:val="none"/>
          <w14:textFill>
            <w14:solidFill>
              <w14:schemeClr w14:val="tx1"/>
            </w14:solidFill>
          </w14:textFill>
        </w:rPr>
        <w:t>对于因上述原因导致的交易失败可能带来的任何损失及预期损失，投资者须自行承担或向</w:t>
      </w:r>
      <w:r>
        <w:rPr>
          <w:rFonts w:hint="eastAsia" w:ascii="宋体" w:hAnsi="宋体" w:eastAsia="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第五条 </w:t>
      </w:r>
      <w:r>
        <w:rPr>
          <w:rFonts w:hint="eastAsia" w:ascii="Calibri" w:hAnsi="Calibri" w:eastAsia="宋体" w:cs="黑体"/>
          <w:b/>
          <w:bCs/>
          <w:color w:val="000000" w:themeColor="text1"/>
          <w:sz w:val="24"/>
          <w:highlight w:val="none"/>
          <w:lang w:val="en-US" w:eastAsia="zh-CN"/>
          <w14:textFill>
            <w14:solidFill>
              <w14:schemeClr w14:val="tx1"/>
            </w14:solidFill>
          </w14:textFill>
        </w:rPr>
        <w:t>违约责任及免责条款</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若因</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原因导致司法或行政</w:t>
      </w:r>
      <w:r>
        <w:rPr>
          <w:rFonts w:hint="eastAsia" w:ascii="宋体" w:hAnsi="宋体" w:eastAsia="宋体" w:cs="黑体"/>
          <w:color w:val="000000" w:themeColor="text1"/>
          <w:sz w:val="24"/>
          <w:highlight w:val="none"/>
          <w:lang w:eastAsia="zh-CN"/>
          <w14:textFill>
            <w14:solidFill>
              <w14:schemeClr w14:val="tx1"/>
            </w14:solidFill>
          </w14:textFill>
        </w:rPr>
        <w:t>等有权机关</w:t>
      </w:r>
      <w:r>
        <w:rPr>
          <w:rFonts w:hint="eastAsia" w:ascii="宋体" w:hAnsi="宋体" w:eastAsia="宋体" w:cs="黑体"/>
          <w:color w:val="000000" w:themeColor="text1"/>
          <w:sz w:val="24"/>
          <w:highlight w:val="none"/>
          <w14:textFill>
            <w14:solidFill>
              <w14:schemeClr w14:val="tx1"/>
            </w14:solidFill>
          </w14:textFill>
        </w:rPr>
        <w:t>采取强制措施对其理财本金、收益进行部分或全部被扣划，均视投资者本人就全部理财本金进行了提前</w:t>
      </w:r>
      <w:r>
        <w:rPr>
          <w:rFonts w:hint="eastAsia" w:ascii="宋体" w:hAnsi="宋体" w:eastAsia="宋体" w:cs="黑体"/>
          <w:color w:val="000000" w:themeColor="text1"/>
          <w:sz w:val="24"/>
          <w:highlight w:val="none"/>
          <w:lang w:eastAsia="zh-CN"/>
          <w14:textFill>
            <w14:solidFill>
              <w14:schemeClr w14:val="tx1"/>
            </w14:solidFill>
          </w14:textFill>
        </w:rPr>
        <w:t>赎回</w:t>
      </w:r>
      <w:r>
        <w:rPr>
          <w:rFonts w:hint="eastAsia" w:ascii="宋体" w:hAnsi="宋体" w:eastAsia="宋体" w:cs="黑体"/>
          <w:color w:val="000000" w:themeColor="text1"/>
          <w:sz w:val="24"/>
          <w:highlight w:val="none"/>
          <w14:textFill>
            <w14:solidFill>
              <w14:schemeClr w14:val="tx1"/>
            </w14:solidFill>
          </w14:textFill>
        </w:rPr>
        <w:t>，本</w:t>
      </w:r>
      <w:r>
        <w:rPr>
          <w:rFonts w:hint="eastAsia" w:ascii="宋体" w:hAnsi="宋体" w:eastAsia="宋体" w:cs="黑体"/>
          <w:color w:val="000000" w:themeColor="text1"/>
          <w:sz w:val="24"/>
          <w:highlight w:val="none"/>
          <w:lang w:eastAsia="zh-CN"/>
          <w14:textFill>
            <w14:solidFill>
              <w14:schemeClr w14:val="tx1"/>
            </w14:solidFill>
          </w14:textFill>
        </w:rPr>
        <w:t>协议</w:t>
      </w:r>
      <w:r>
        <w:rPr>
          <w:rFonts w:hint="eastAsia" w:ascii="宋体" w:hAnsi="宋体" w:eastAsia="宋体" w:cs="黑体"/>
          <w:color w:val="000000" w:themeColor="text1"/>
          <w:sz w:val="24"/>
          <w:highlight w:val="none"/>
          <w14:textFill>
            <w14:solidFill>
              <w14:schemeClr w14:val="tx1"/>
            </w14:solidFill>
          </w14:textFill>
        </w:rPr>
        <w:t>自动终止。因提前终止而产生的损失及相关费用由投资者承担。本</w:t>
      </w:r>
      <w:r>
        <w:rPr>
          <w:rFonts w:hint="eastAsia" w:ascii="宋体" w:hAnsi="宋体" w:eastAsia="宋体" w:cs="黑体"/>
          <w:color w:val="000000" w:themeColor="text1"/>
          <w:sz w:val="24"/>
          <w:highlight w:val="none"/>
          <w:lang w:eastAsia="zh-CN"/>
          <w14:textFill>
            <w14:solidFill>
              <w14:schemeClr w14:val="tx1"/>
            </w14:solidFill>
          </w14:textFill>
        </w:rPr>
        <w:t>协议因</w:t>
      </w:r>
      <w:r>
        <w:rPr>
          <w:rFonts w:hint="eastAsia" w:ascii="宋体" w:hAnsi="宋体" w:eastAsia="宋体" w:cs="黑体"/>
          <w:color w:val="000000" w:themeColor="text1"/>
          <w:sz w:val="24"/>
          <w:highlight w:val="none"/>
          <w14:textFill>
            <w14:solidFill>
              <w14:schemeClr w14:val="tx1"/>
            </w14:solidFill>
          </w14:textFill>
        </w:rPr>
        <w:t>前述情况终止的，理财本金不计付</w:t>
      </w:r>
      <w:r>
        <w:rPr>
          <w:rFonts w:hint="eastAsia" w:ascii="宋体" w:hAnsi="宋体" w:eastAsia="宋体" w:cs="黑体"/>
          <w:color w:val="000000" w:themeColor="text1"/>
          <w:sz w:val="24"/>
          <w:highlight w:val="none"/>
          <w:lang w:eastAsia="zh-CN"/>
          <w14:textFill>
            <w14:solidFill>
              <w14:schemeClr w14:val="tx1"/>
            </w14:solidFill>
          </w14:textFill>
        </w:rPr>
        <w:t>赎回</w:t>
      </w:r>
      <w:r>
        <w:rPr>
          <w:rFonts w:hint="eastAsia" w:ascii="宋体" w:hAnsi="宋体" w:eastAsia="宋体" w:cs="黑体"/>
          <w:color w:val="000000" w:themeColor="text1"/>
          <w:sz w:val="24"/>
          <w:highlight w:val="none"/>
          <w14:textFill>
            <w14:solidFill>
              <w14:schemeClr w14:val="tx1"/>
            </w14:solidFill>
          </w14:textFill>
        </w:rPr>
        <w:t>日前的理财收益，也不计付存款利息。</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投资者违反本协议第二条内容，应承担相应违约责任。</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对由此导致的理财业务交易延误、中断、终止及</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损失不承担任何责任，并有权单方终止双方理财业务关系。因</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违反双方约定给</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或全体投资者造成损失的，</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应承担相应的赔偿责任。</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若由于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过错导致理财计划资产发生损失，</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应按其过错承担赔偿责任，</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赔偿的款项计入理财计划的资产和收益。</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由于地震、火灾、战争等不可抗力或突发重大卫生公共事件等不可预测事件造成的交易中断、延误等风险及损失，</w:t>
      </w:r>
      <w:r>
        <w:rPr>
          <w:rFonts w:hint="eastAsia" w:ascii="宋体" w:hAnsi="宋体" w:cs="黑体"/>
          <w:color w:val="000000" w:themeColor="text1"/>
          <w:sz w:val="24"/>
          <w:highlight w:val="none"/>
          <w:lang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不承担责任；但</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应在上述情况发生</w:t>
      </w:r>
      <w:r>
        <w:rPr>
          <w:rFonts w:hint="eastAsia" w:ascii="宋体" w:hAnsi="宋体" w:eastAsia="宋体" w:cs="黑体"/>
          <w:color w:val="000000" w:themeColor="text1"/>
          <w:sz w:val="24"/>
          <w:highlight w:val="none"/>
          <w:lang w:eastAsia="zh-CN"/>
          <w14:textFill>
            <w14:solidFill>
              <w14:schemeClr w14:val="tx1"/>
            </w14:solidFill>
          </w14:textFill>
        </w:rPr>
        <w:t>后</w:t>
      </w:r>
      <w:r>
        <w:rPr>
          <w:rFonts w:hint="eastAsia" w:ascii="宋体" w:hAnsi="宋体" w:eastAsia="宋体" w:cs="黑体"/>
          <w:color w:val="000000" w:themeColor="text1"/>
          <w:sz w:val="24"/>
          <w:highlight w:val="none"/>
          <w14:textFill>
            <w14:solidFill>
              <w14:schemeClr w14:val="tx1"/>
            </w14:solidFill>
          </w14:textFill>
        </w:rPr>
        <w:t>在条件允许时及时通知</w:t>
      </w:r>
      <w:r>
        <w:rPr>
          <w:rFonts w:hint="eastAsia" w:ascii="宋体" w:hAnsi="宋体" w:eastAsia="宋体" w:cs="黑体"/>
          <w:color w:val="000000" w:themeColor="text1"/>
          <w:sz w:val="24"/>
          <w:highlight w:val="none"/>
          <w:lang w:eastAsia="zh-CN"/>
          <w14:textFill>
            <w14:solidFill>
              <w14:schemeClr w14:val="tx1"/>
            </w14:solidFill>
          </w14:textFill>
        </w:rPr>
        <w:t>投资者</w:t>
      </w:r>
      <w:r>
        <w:rPr>
          <w:rFonts w:hint="eastAsia" w:ascii="宋体" w:hAnsi="宋体" w:eastAsia="宋体" w:cs="黑体"/>
          <w:color w:val="000000" w:themeColor="text1"/>
          <w:sz w:val="24"/>
          <w:highlight w:val="none"/>
          <w14:textFill>
            <w14:solidFill>
              <w14:schemeClr w14:val="tx1"/>
            </w14:solidFill>
          </w14:textFill>
        </w:rPr>
        <w:t>并采取一切必要且可能的措施阻止损失扩大。</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因国家有关法律、法规、规章、政策的修改或新的法律、法规、规章、政策颁布以及紧急措施的出台导致的风险及损失，</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themeColor="text1"/>
          <w:sz w:val="24"/>
          <w:highlight w:val="none"/>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第六条 </w:t>
      </w:r>
      <w:r>
        <w:rPr>
          <w:rFonts w:hint="eastAsia" w:ascii="Calibri" w:hAnsi="Calibri" w:eastAsia="宋体" w:cs="黑体"/>
          <w:b/>
          <w:bCs/>
          <w:color w:val="000000" w:themeColor="text1"/>
          <w:sz w:val="24"/>
          <w:highlight w:val="none"/>
          <w:lang w:val="en-US" w:eastAsia="zh-CN"/>
          <w14:textFill>
            <w14:solidFill>
              <w14:schemeClr w14:val="tx1"/>
            </w14:solidFill>
          </w14:textFill>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lang w:val="en-US" w:eastAsia="zh-CN"/>
          <w14:textFill>
            <w14:solidFill>
              <w14:schemeClr w14:val="tx1"/>
            </w14:solidFill>
          </w14:textFill>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w:t>
      </w:r>
      <w:r>
        <w:rPr>
          <w:rFonts w:hint="eastAsia" w:ascii="宋体" w:hAnsi="宋体" w:cs="黑体"/>
          <w:color w:val="000000" w:themeColor="text1"/>
          <w:sz w:val="24"/>
          <w:highlight w:val="none"/>
          <w:lang w:val="en-US" w:eastAsia="zh-CN"/>
          <w14:textFill>
            <w14:solidFill>
              <w14:schemeClr w14:val="tx1"/>
            </w14:solidFill>
          </w14:textFill>
        </w:rPr>
        <w:t>被告人</w:t>
      </w:r>
      <w:r>
        <w:rPr>
          <w:rFonts w:hint="eastAsia" w:ascii="宋体" w:hAnsi="宋体" w:eastAsia="宋体" w:cs="黑体"/>
          <w:color w:val="000000" w:themeColor="text1"/>
          <w:sz w:val="24"/>
          <w:highlight w:val="none"/>
          <w:lang w:val="en-US" w:eastAsia="zh-CN"/>
          <w14:textFill>
            <w14:solidFill>
              <w14:schemeClr w14:val="tx1"/>
            </w14:solidFill>
          </w14:textFill>
        </w:rPr>
        <w:t>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color w:val="000000" w:themeColor="text1"/>
          <w:sz w:val="24"/>
          <w:highlight w:val="none"/>
          <w:lang w:val="en-US" w:eastAsia="zh-CN"/>
          <w14:textFill>
            <w14:solidFill>
              <w14:schemeClr w14:val="tx1"/>
            </w14:solidFill>
          </w14:textFill>
        </w:rPr>
      </w:pPr>
      <w:r>
        <w:rPr>
          <w:rFonts w:hint="eastAsia" w:eastAsia="宋体" w:cs="黑体"/>
          <w:b/>
          <w:bCs/>
          <w:color w:val="000000" w:themeColor="text1"/>
          <w:sz w:val="24"/>
          <w:highlight w:val="none"/>
          <w:lang w:val="en-US" w:eastAsia="zh-CN"/>
          <w14:textFill>
            <w14:solidFill>
              <w14:schemeClr w14:val="tx1"/>
            </w14:solidFill>
          </w14:textFill>
        </w:rPr>
        <w:t xml:space="preserve">第七条 </w:t>
      </w:r>
      <w:r>
        <w:rPr>
          <w:rFonts w:hint="eastAsia" w:ascii="Calibri" w:hAnsi="Calibri" w:eastAsia="宋体" w:cs="黑体"/>
          <w:b/>
          <w:bCs/>
          <w:color w:val="000000" w:themeColor="text1"/>
          <w:sz w:val="24"/>
          <w:highlight w:val="none"/>
          <w:lang w:val="en-US" w:eastAsia="zh-CN"/>
          <w14:textFill>
            <w14:solidFill>
              <w14:schemeClr w14:val="tx1"/>
            </w14:solidFill>
          </w14:textFill>
        </w:rPr>
        <w:t>协议生效和终止</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投资者和</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 xml:space="preserve">双方认可本协议可以纸质或电子数据等形式提交、订立或确认。 </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本协议书</w:t>
      </w:r>
      <w:r>
        <w:rPr>
          <w:rFonts w:hint="eastAsia" w:ascii="宋体" w:hAnsi="宋体"/>
          <w:color w:val="000000" w:themeColor="text1"/>
          <w:sz w:val="24"/>
          <w:highlight w:val="none"/>
          <w14:textFill>
            <w14:solidFill>
              <w14:schemeClr w14:val="tx1"/>
            </w14:solidFill>
          </w14:textFill>
        </w:rPr>
        <w:t>以纸质书面形式订立的，自投资者签</w:t>
      </w:r>
      <w:r>
        <w:rPr>
          <w:rFonts w:hint="eastAsia" w:ascii="宋体" w:hAnsi="宋体"/>
          <w:color w:val="000000" w:themeColor="text1"/>
          <w:sz w:val="24"/>
          <w:highlight w:val="none"/>
          <w:lang w:val="en-US" w:eastAsia="zh-CN"/>
          <w14:textFill>
            <w14:solidFill>
              <w14:schemeClr w14:val="tx1"/>
            </w14:solidFill>
          </w14:textFill>
        </w:rPr>
        <w:t>署（如投资者为个人，应签字；如投资者为机构，应法定代表人或授权代理人签字或盖章并加盖公章或有效授权印章）</w:t>
      </w:r>
      <w:r>
        <w:rPr>
          <w:rFonts w:hint="eastAsia" w:ascii="宋体" w:hAnsi="宋体"/>
          <w:color w:val="000000" w:themeColor="text1"/>
          <w:sz w:val="24"/>
          <w:highlight w:val="none"/>
          <w14:textFill>
            <w14:solidFill>
              <w14:schemeClr w14:val="tx1"/>
            </w14:solidFill>
          </w14:textFill>
        </w:rPr>
        <w:t>和</w:t>
      </w:r>
      <w:r>
        <w:rPr>
          <w:rFonts w:hint="eastAsia" w:ascii="宋体" w:hAnsi="宋体"/>
          <w:color w:val="000000" w:themeColor="text1"/>
          <w:sz w:val="24"/>
          <w:highlight w:val="none"/>
          <w:lang w:eastAsia="zh-CN"/>
          <w14:textFill>
            <w14:solidFill>
              <w14:schemeClr w14:val="tx1"/>
            </w14:solidFill>
          </w14:textFill>
        </w:rPr>
        <w:t>销售机构</w:t>
      </w:r>
      <w:r>
        <w:rPr>
          <w:rFonts w:hint="eastAsia" w:ascii="宋体" w:hAnsi="宋体"/>
          <w:color w:val="000000" w:themeColor="text1"/>
          <w:sz w:val="24"/>
          <w:highlight w:val="none"/>
          <w14:textFill>
            <w14:solidFill>
              <w14:schemeClr w14:val="tx1"/>
            </w14:solidFill>
          </w14:textFill>
        </w:rPr>
        <w:t>签章之后立即生效。协议一式叁份，投资者、管理人和</w:t>
      </w:r>
      <w:r>
        <w:rPr>
          <w:rFonts w:hint="eastAsia" w:ascii="宋体" w:hAnsi="宋体"/>
          <w:color w:val="000000" w:themeColor="text1"/>
          <w:sz w:val="24"/>
          <w:highlight w:val="none"/>
          <w:lang w:eastAsia="zh-CN"/>
          <w14:textFill>
            <w14:solidFill>
              <w14:schemeClr w14:val="tx1"/>
            </w14:solidFill>
          </w14:textFill>
        </w:rPr>
        <w:t>销售机构</w:t>
      </w:r>
      <w:r>
        <w:rPr>
          <w:rFonts w:hint="eastAsia" w:ascii="宋体" w:hAnsi="宋体"/>
          <w:color w:val="000000" w:themeColor="text1"/>
          <w:sz w:val="24"/>
          <w:highlight w:val="none"/>
          <w14:textFill>
            <w14:solidFill>
              <w14:schemeClr w14:val="tx1"/>
            </w14:solidFill>
          </w14:textFill>
        </w:rPr>
        <w:t>各执壹份，具有同等法律效力。</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本协议书以数据电文形式订立的，投资者在销售机构的电子银行</w:t>
      </w:r>
      <w:r>
        <w:rPr>
          <w:rFonts w:hint="eastAsia" w:ascii="宋体" w:hAnsi="宋体" w:eastAsia="宋体" w:cs="黑体"/>
          <w:color w:val="000000" w:themeColor="text1"/>
          <w:sz w:val="24"/>
          <w:highlight w:val="none"/>
          <w:lang w:eastAsia="zh-CN"/>
          <w14:textFill>
            <w14:solidFill>
              <w14:schemeClr w14:val="tx1"/>
            </w14:solidFill>
          </w14:textFill>
        </w:rPr>
        <w:t>渠道</w:t>
      </w:r>
      <w:r>
        <w:rPr>
          <w:rFonts w:hint="eastAsia" w:ascii="宋体" w:hAnsi="宋体" w:eastAsia="宋体" w:cs="黑体"/>
          <w:color w:val="000000" w:themeColor="text1"/>
          <w:sz w:val="24"/>
          <w:highlight w:val="none"/>
          <w14:textFill>
            <w14:solidFill>
              <w14:schemeClr w14:val="tx1"/>
            </w14:solidFill>
          </w14:textFill>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lang w:val="en-US" w:eastAsia="zh-CN"/>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投资者和</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themeColor="text1"/>
          <w:sz w:val="24"/>
          <w:highlight w:val="none"/>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color w:val="000000" w:themeColor="text1"/>
          <w:sz w:val="24"/>
          <w:highlight w:val="none"/>
          <w:lang w:val="en-US" w:eastAsia="zh-CN"/>
          <w14:textFill>
            <w14:solidFill>
              <w14:schemeClr w14:val="tx1"/>
            </w14:solidFill>
          </w14:textFill>
        </w:rPr>
      </w:pPr>
      <w:r>
        <w:rPr>
          <w:rFonts w:hint="eastAsia" w:eastAsia="宋体" w:cs="黑体"/>
          <w:b/>
          <w:bCs w:val="0"/>
          <w:color w:val="000000" w:themeColor="text1"/>
          <w:sz w:val="24"/>
          <w:highlight w:val="none"/>
          <w:lang w:val="en-US" w:eastAsia="zh-CN"/>
          <w14:textFill>
            <w14:solidFill>
              <w14:schemeClr w14:val="tx1"/>
            </w14:solidFill>
          </w14:textFill>
        </w:rPr>
        <w:t xml:space="preserve">第八条 </w:t>
      </w:r>
      <w:r>
        <w:rPr>
          <w:rFonts w:hint="eastAsia" w:ascii="Calibri" w:hAnsi="Calibri" w:eastAsia="宋体" w:cs="黑体"/>
          <w:b/>
          <w:bCs w:val="0"/>
          <w:color w:val="000000" w:themeColor="text1"/>
          <w:sz w:val="24"/>
          <w:highlight w:val="none"/>
          <w:lang w:val="en-US" w:eastAsia="zh-CN"/>
          <w14:textFill>
            <w14:solidFill>
              <w14:schemeClr w14:val="tx1"/>
            </w14:solidFill>
          </w14:textFill>
        </w:rPr>
        <w:t xml:space="preserve">附则 </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如果投资者与</w:t>
      </w:r>
      <w:r>
        <w:rPr>
          <w:rFonts w:hint="eastAsia" w:ascii="宋体" w:hAnsi="宋体" w:eastAsia="宋体" w:cs="黑体"/>
          <w:color w:val="000000" w:themeColor="text1"/>
          <w:sz w:val="24"/>
          <w:highlight w:val="none"/>
          <w:lang w:val="en-US" w:eastAsia="zh-CN"/>
          <w14:textFill>
            <w14:solidFill>
              <w14:schemeClr w14:val="tx1"/>
            </w14:solidFill>
          </w14:textFill>
        </w:rPr>
        <w:t>销售机构</w:t>
      </w:r>
      <w:r>
        <w:rPr>
          <w:rFonts w:hint="eastAsia" w:ascii="宋体" w:hAnsi="宋体" w:eastAsia="宋体" w:cs="黑体"/>
          <w:color w:val="000000" w:themeColor="text1"/>
          <w:sz w:val="24"/>
          <w:highlight w:val="none"/>
          <w14:textFill>
            <w14:solidFill>
              <w14:schemeClr w14:val="tx1"/>
            </w14:solidFill>
          </w14:textFill>
        </w:rPr>
        <w:t>之间存在多份理财计划</w:t>
      </w:r>
      <w:r>
        <w:rPr>
          <w:rFonts w:hint="eastAsia" w:ascii="宋体" w:hAnsi="宋体" w:eastAsia="宋体" w:cs="黑体"/>
          <w:color w:val="000000" w:themeColor="text1"/>
          <w:sz w:val="24"/>
          <w:highlight w:val="none"/>
          <w:lang w:val="en-US" w:eastAsia="zh-CN"/>
          <w14:textFill>
            <w14:solidFill>
              <w14:schemeClr w14:val="tx1"/>
            </w14:solidFill>
          </w14:textFill>
        </w:rPr>
        <w:t>销售</w:t>
      </w:r>
      <w:r>
        <w:rPr>
          <w:rFonts w:hint="eastAsia" w:ascii="宋体" w:hAnsi="宋体" w:eastAsia="宋体" w:cs="黑体"/>
          <w:color w:val="000000" w:themeColor="text1"/>
          <w:sz w:val="24"/>
          <w:highlight w:val="none"/>
          <w14:textFill>
            <w14:solidFill>
              <w14:schemeClr w14:val="tx1"/>
            </w14:solidFill>
          </w14:textFill>
        </w:rPr>
        <w:t>协议书，则每一协议书分别与其所对应的</w:t>
      </w:r>
      <w:r>
        <w:rPr>
          <w:rFonts w:hint="eastAsia" w:ascii="宋体" w:hAnsi="宋体" w:eastAsia="宋体" w:cs="黑体"/>
          <w:color w:val="000000" w:themeColor="text1"/>
          <w:sz w:val="24"/>
          <w:highlight w:val="none"/>
          <w:lang w:val="en-US" w:eastAsia="zh-CN"/>
          <w14:textFill>
            <w14:solidFill>
              <w14:schemeClr w14:val="tx1"/>
            </w14:solidFill>
          </w14:textFill>
        </w:rPr>
        <w:t>理财计划</w:t>
      </w:r>
      <w:r>
        <w:rPr>
          <w:rFonts w:hint="eastAsia" w:ascii="宋体" w:hAnsi="宋体" w:eastAsia="宋体" w:cs="黑体"/>
          <w:color w:val="000000" w:themeColor="text1"/>
          <w:sz w:val="24"/>
          <w:highlight w:val="none"/>
          <w14:textFill>
            <w14:solidFill>
              <w14:schemeClr w14:val="tx1"/>
            </w14:solidFill>
          </w14:textFill>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color w:val="000000" w:themeColor="text1"/>
          <w:sz w:val="24"/>
          <w:highlight w:val="none"/>
          <w14:textFill>
            <w14:solidFill>
              <w14:schemeClr w14:val="tx1"/>
            </w14:solidFill>
          </w14:textFill>
        </w:rPr>
      </w:pPr>
      <w:r>
        <w:rPr>
          <w:rFonts w:hint="eastAsia" w:ascii="宋体" w:hAnsi="宋体" w:eastAsia="宋体" w:cs="黑体"/>
          <w:color w:val="000000" w:themeColor="text1"/>
          <w:sz w:val="24"/>
          <w:highlight w:val="none"/>
          <w14:textFill>
            <w14:solidFill>
              <w14:schemeClr w14:val="tx1"/>
            </w14:solidFill>
          </w14:textFill>
        </w:rPr>
        <w:t>在理财计划存续期内，如因监管政策或法律法规发生变化，在不损害投资者利益的前提下，</w:t>
      </w:r>
      <w:r>
        <w:rPr>
          <w:rFonts w:hint="eastAsia" w:ascii="宋体" w:hAnsi="宋体" w:eastAsia="宋体" w:cs="黑体"/>
          <w:color w:val="000000" w:themeColor="text1"/>
          <w:sz w:val="24"/>
          <w:highlight w:val="none"/>
          <w:lang w:val="en-US" w:eastAsia="zh-CN"/>
          <w14:textFill>
            <w14:solidFill>
              <w14:schemeClr w14:val="tx1"/>
            </w14:solidFill>
          </w14:textFill>
        </w:rPr>
        <w:t>管理人</w:t>
      </w:r>
      <w:r>
        <w:rPr>
          <w:rFonts w:hint="eastAsia" w:ascii="宋体" w:hAnsi="宋体" w:eastAsia="宋体" w:cs="黑体"/>
          <w:color w:val="000000" w:themeColor="text1"/>
          <w:sz w:val="24"/>
          <w:highlight w:val="none"/>
          <w14:textFill>
            <w14:solidFill>
              <w14:schemeClr w14:val="tx1"/>
            </w14:solidFill>
          </w14:textFill>
        </w:rPr>
        <w:t>有权单方对理财计划</w:t>
      </w:r>
      <w:r>
        <w:rPr>
          <w:rFonts w:hint="default" w:ascii="宋体" w:hAnsi="宋体" w:eastAsia="宋体" w:cs="黑体"/>
          <w:color w:val="000000" w:themeColor="text1"/>
          <w:sz w:val="24"/>
          <w:highlight w:val="none"/>
          <w:lang w:val="en-US"/>
          <w14:textFill>
            <w14:solidFill>
              <w14:schemeClr w14:val="tx1"/>
            </w14:solidFill>
          </w14:textFill>
        </w:rPr>
        <w:t>合同</w:t>
      </w:r>
      <w:r>
        <w:rPr>
          <w:rFonts w:hint="eastAsia" w:ascii="宋体" w:hAnsi="宋体" w:eastAsia="宋体" w:cs="黑体"/>
          <w:color w:val="000000" w:themeColor="text1"/>
          <w:sz w:val="24"/>
          <w:highlight w:val="none"/>
          <w:lang w:val="en-US" w:eastAsia="zh-CN"/>
          <w14:textFill>
            <w14:solidFill>
              <w14:schemeClr w14:val="tx1"/>
            </w14:solidFill>
          </w14:textFill>
        </w:rPr>
        <w:t>销售文件</w:t>
      </w:r>
      <w:r>
        <w:rPr>
          <w:rFonts w:hint="eastAsia" w:ascii="宋体" w:hAnsi="宋体" w:eastAsia="宋体" w:cs="黑体"/>
          <w:color w:val="000000" w:themeColor="text1"/>
          <w:sz w:val="24"/>
          <w:highlight w:val="none"/>
          <w14:textFill>
            <w14:solidFill>
              <w14:schemeClr w14:val="tx1"/>
            </w14:solidFill>
          </w14:textFill>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widowControl/>
        <w:spacing w:line="360" w:lineRule="auto"/>
        <w:jc w:val="right"/>
        <w:rPr>
          <w:rFonts w:hint="eastAsia" w:ascii="宋体" w:hAnsi="Wingdings"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pPr>
    </w:p>
    <w:p>
      <w:pP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t>本页为</w:t>
      </w:r>
      <w:r>
        <w:rPr>
          <w:rFonts w:hint="eastAsia" w:ascii="宋体" w:hAnsi="宋体" w:eastAsia="宋体" w:cs="黑体"/>
          <w:b w:val="0"/>
          <w:bCs w:val="0"/>
          <w:color w:val="000000" w:themeColor="text1"/>
          <w:sz w:val="24"/>
          <w:szCs w:val="24"/>
          <w:highlight w:val="none"/>
          <w14:textFill>
            <w14:solidFill>
              <w14:schemeClr w14:val="tx1"/>
            </w14:solidFill>
          </w14:textFill>
        </w:rPr>
        <w:t>纸质</w:t>
      </w:r>
      <w:r>
        <w:rPr>
          <w:rFonts w:hint="eastAsia" w:ascii="宋体" w:hAnsi="宋体" w:eastAsia="宋体" w:cs="黑体"/>
          <w:b w:val="0"/>
          <w:bCs w:val="0"/>
          <w:color w:val="000000" w:themeColor="text1"/>
          <w:sz w:val="24"/>
          <w:szCs w:val="24"/>
          <w:highlight w:val="none"/>
          <w:lang w:val="en-US" w:eastAsia="zh-CN"/>
          <w14:textFill>
            <w14:solidFill>
              <w14:schemeClr w14:val="tx1"/>
            </w14:solidFill>
          </w14:textFill>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4"/>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highlight w:val="none"/>
          <w:lang w:eastAsia="zh-CN"/>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投资者</w:t>
      </w:r>
      <w:r>
        <w:rPr>
          <w:rFonts w:hint="eastAsia" w:ascii="宋体" w:hAnsi="宋体" w:eastAsia="宋体" w:cs="黑体"/>
          <w:b/>
          <w:bCs/>
          <w:color w:val="000000" w:themeColor="text1"/>
          <w:sz w:val="24"/>
          <w:highlight w:val="none"/>
          <w:lang w:eastAsia="zh-CN"/>
          <w14:textFill>
            <w14:solidFill>
              <w14:schemeClr w14:val="tx1"/>
            </w14:solidFill>
          </w14:textFill>
        </w:rPr>
        <w:t>（</w:t>
      </w:r>
      <w:r>
        <w:rPr>
          <w:rFonts w:hint="eastAsia" w:ascii="宋体" w:hAnsi="宋体" w:eastAsia="宋体" w:cs="黑体"/>
          <w:b/>
          <w:bCs/>
          <w:color w:val="000000" w:themeColor="text1"/>
          <w:sz w:val="24"/>
          <w:highlight w:val="none"/>
          <w14:textFill>
            <w14:solidFill>
              <w14:schemeClr w14:val="tx1"/>
            </w14:solidFill>
          </w14:textFill>
        </w:rPr>
        <w:t>签字</w:t>
      </w:r>
      <w:r>
        <w:rPr>
          <w:rFonts w:hint="eastAsia" w:ascii="宋体" w:hAnsi="宋体" w:eastAsia="宋体" w:cs="黑体"/>
          <w:b/>
          <w:bCs/>
          <w:color w:val="000000" w:themeColor="text1"/>
          <w:sz w:val="24"/>
          <w:highlight w:val="none"/>
          <w:lang w:eastAsia="zh-CN"/>
          <w14:textFill>
            <w14:solidFill>
              <w14:schemeClr w14:val="tx1"/>
            </w14:solidFill>
          </w14:textFill>
        </w:rPr>
        <w:t>或签章）</w:t>
      </w:r>
      <w:r>
        <w:rPr>
          <w:rFonts w:hint="eastAsia" w:ascii="宋体" w:hAnsi="宋体" w:eastAsia="宋体" w:cs="黑体"/>
          <w:b/>
          <w:bCs/>
          <w:color w:val="000000" w:themeColor="text1"/>
          <w:sz w:val="24"/>
          <w:szCs w:val="24"/>
          <w:highlight w:val="none"/>
          <w:lang w:eastAsia="zh-CN"/>
          <w14:textFill>
            <w14:solidFill>
              <w14:schemeClr w14:val="tx1"/>
            </w14:solidFill>
          </w14:textFill>
        </w:rPr>
        <w:t>：</w:t>
      </w:r>
    </w:p>
    <w:p>
      <w:pPr>
        <w:spacing w:before="156" w:beforeLines="50" w:after="156" w:afterLines="50" w:line="360" w:lineRule="auto"/>
        <w:ind w:firstLine="4800" w:firstLineChars="2000"/>
        <w:jc w:val="right"/>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r>
        <w:rPr>
          <w:rFonts w:hint="eastAsia" w:ascii="宋体" w:hAnsi="宋体" w:eastAsia="宋体" w:cs="黑体"/>
          <w:b/>
          <w:bCs/>
          <w:color w:val="000000" w:themeColor="text1"/>
          <w:sz w:val="24"/>
          <w:highlight w:val="none"/>
          <w14:textFill>
            <w14:solidFill>
              <w14:schemeClr w14:val="tx1"/>
            </w14:solidFill>
          </w14:textFill>
        </w:rPr>
        <w:t>销售机构签章</w:t>
      </w:r>
      <w:r>
        <w:rPr>
          <w:rFonts w:hint="eastAsia" w:ascii="宋体" w:hAnsi="宋体" w:eastAsia="宋体" w:cs="黑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themeColor="text1"/>
          <w:sz w:val="24"/>
          <w:szCs w:val="24"/>
          <w:highlight w:val="none"/>
          <w:lang w:eastAsia="zh-CN"/>
          <w14:textFill>
            <w14:solidFill>
              <w14:schemeClr w14:val="tx1"/>
            </w14:solidFill>
          </w14:textFill>
        </w:rPr>
      </w:pPr>
    </w:p>
    <w:p>
      <w:pPr>
        <w:spacing w:before="156" w:beforeLines="50" w:after="156" w:afterLines="50" w:line="360" w:lineRule="auto"/>
        <w:ind w:firstLine="4800" w:firstLineChars="2000"/>
        <w:jc w:val="right"/>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spacing w:line="360" w:lineRule="auto"/>
        <w:rPr>
          <w:rFonts w:ascii="宋体" w:hAnsi="宋体" w:cs="宋体"/>
          <w:bCs/>
          <w:color w:val="000000" w:themeColor="text1"/>
          <w:sz w:val="24"/>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10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3">
    <w:nsid w:val="85460E80"/>
    <w:multiLevelType w:val="singleLevel"/>
    <w:tmpl w:val="85460E80"/>
    <w:lvl w:ilvl="0" w:tentative="0">
      <w:start w:val="1"/>
      <w:numFmt w:val="decimal"/>
      <w:suff w:val="nothing"/>
      <w:lvlText w:val="（%1）"/>
      <w:lvlJc w:val="left"/>
      <w:rPr>
        <w:rFonts w:hint="default"/>
        <w:b w:val="0"/>
        <w:bCs w:val="0"/>
      </w:rPr>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8">
    <w:nsid w:val="B08226EF"/>
    <w:multiLevelType w:val="singleLevel"/>
    <w:tmpl w:val="B08226EF"/>
    <w:lvl w:ilvl="0" w:tentative="0">
      <w:start w:val="1"/>
      <w:numFmt w:val="chineseCounting"/>
      <w:suff w:val="space"/>
      <w:lvlText w:val="第%1条"/>
      <w:lvlJc w:val="left"/>
      <w:rPr>
        <w:rFonts w:hint="eastAsia"/>
      </w:rPr>
    </w:lvl>
  </w:abstractNum>
  <w:abstractNum w:abstractNumId="19">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0">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1">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2">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3">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4">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5">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6">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7">
    <w:nsid w:val="D8D75090"/>
    <w:multiLevelType w:val="singleLevel"/>
    <w:tmpl w:val="D8D75090"/>
    <w:lvl w:ilvl="0" w:tentative="0">
      <w:start w:val="1"/>
      <w:numFmt w:val="decimal"/>
      <w:suff w:val="nothing"/>
      <w:lvlText w:val="（%1）"/>
      <w:lvlJc w:val="left"/>
      <w:rPr>
        <w:rFonts w:hint="default"/>
        <w:b w:val="0"/>
        <w:bCs w:val="0"/>
      </w:rPr>
    </w:lvl>
  </w:abstractNum>
  <w:abstractNum w:abstractNumId="28">
    <w:nsid w:val="DD2251DF"/>
    <w:multiLevelType w:val="singleLevel"/>
    <w:tmpl w:val="DD2251DF"/>
    <w:lvl w:ilvl="0" w:tentative="0">
      <w:start w:val="1"/>
      <w:numFmt w:val="decimal"/>
      <w:suff w:val="nothing"/>
      <w:lvlText w:val="（%1）"/>
      <w:lvlJc w:val="left"/>
      <w:rPr>
        <w:rFonts w:hint="default"/>
        <w:b w:val="0"/>
        <w:bCs w:val="0"/>
      </w:rPr>
    </w:lvl>
  </w:abstractNum>
  <w:abstractNum w:abstractNumId="29">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0">
    <w:nsid w:val="E70DF796"/>
    <w:multiLevelType w:val="singleLevel"/>
    <w:tmpl w:val="E70DF796"/>
    <w:lvl w:ilvl="0" w:tentative="0">
      <w:start w:val="1"/>
      <w:numFmt w:val="decimal"/>
      <w:suff w:val="nothing"/>
      <w:lvlText w:val="（%1）"/>
      <w:lvlJc w:val="left"/>
    </w:lvl>
  </w:abstractNum>
  <w:abstractNum w:abstractNumId="31">
    <w:nsid w:val="EFF37F09"/>
    <w:multiLevelType w:val="singleLevel"/>
    <w:tmpl w:val="EFF37F09"/>
    <w:lvl w:ilvl="0" w:tentative="0">
      <w:start w:val="1"/>
      <w:numFmt w:val="decimal"/>
      <w:suff w:val="nothing"/>
      <w:lvlText w:val="（%1）"/>
      <w:lvlJc w:val="left"/>
      <w:rPr>
        <w:rFonts w:hint="default"/>
        <w:b w:val="0"/>
        <w:bCs w:val="0"/>
      </w:rPr>
    </w:lvl>
  </w:abstractNum>
  <w:abstractNum w:abstractNumId="32">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4">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5">
    <w:nsid w:val="F574F5B6"/>
    <w:multiLevelType w:val="singleLevel"/>
    <w:tmpl w:val="F574F5B6"/>
    <w:lvl w:ilvl="0" w:tentative="0">
      <w:start w:val="1"/>
      <w:numFmt w:val="decimal"/>
      <w:suff w:val="nothing"/>
      <w:lvlText w:val="（%1）"/>
      <w:lvlJc w:val="left"/>
    </w:lvl>
  </w:abstractNum>
  <w:abstractNum w:abstractNumId="36">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7">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8">
    <w:nsid w:val="084A6179"/>
    <w:multiLevelType w:val="singleLevel"/>
    <w:tmpl w:val="084A6179"/>
    <w:lvl w:ilvl="0" w:tentative="0">
      <w:start w:val="1"/>
      <w:numFmt w:val="decimal"/>
      <w:suff w:val="nothing"/>
      <w:lvlText w:val="（%1）"/>
      <w:lvlJc w:val="left"/>
      <w:rPr>
        <w:rFonts w:hint="default"/>
        <w:highlight w:val="none"/>
      </w:rPr>
    </w:lvl>
  </w:abstractNum>
  <w:abstractNum w:abstractNumId="39">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3">
    <w:nsid w:val="167B0BB4"/>
    <w:multiLevelType w:val="singleLevel"/>
    <w:tmpl w:val="167B0BB4"/>
    <w:lvl w:ilvl="0" w:tentative="0">
      <w:start w:val="1"/>
      <w:numFmt w:val="decimal"/>
      <w:suff w:val="nothing"/>
      <w:lvlText w:val="（%1）"/>
      <w:lvlJc w:val="left"/>
    </w:lvl>
  </w:abstractNum>
  <w:abstractNum w:abstractNumId="44">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5">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6">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7">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8">
    <w:nsid w:val="2CB63BE6"/>
    <w:multiLevelType w:val="singleLevel"/>
    <w:tmpl w:val="2CB63BE6"/>
    <w:lvl w:ilvl="0" w:tentative="0">
      <w:start w:val="1"/>
      <w:numFmt w:val="decimal"/>
      <w:suff w:val="nothing"/>
      <w:lvlText w:val="（%1）"/>
      <w:lvlJc w:val="left"/>
      <w:rPr>
        <w:rFonts w:hint="default"/>
        <w:b w:val="0"/>
        <w:bCs w:val="0"/>
      </w:rPr>
    </w:lvl>
  </w:abstractNum>
  <w:abstractNum w:abstractNumId="49">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5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6">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6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1">
    <w:nsid w:val="5BA91325"/>
    <w:multiLevelType w:val="singleLevel"/>
    <w:tmpl w:val="5BA91325"/>
    <w:lvl w:ilvl="0" w:tentative="0">
      <w:start w:val="1"/>
      <w:numFmt w:val="decimal"/>
      <w:suff w:val="nothing"/>
      <w:lvlText w:val="（%1）"/>
      <w:lvlJc w:val="left"/>
    </w:lvl>
  </w:abstractNum>
  <w:abstractNum w:abstractNumId="6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7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5">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6">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7">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8">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9">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80">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1">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2">
    <w:nsid w:val="61F30F62"/>
    <w:multiLevelType w:val="singleLevel"/>
    <w:tmpl w:val="61F30F62"/>
    <w:lvl w:ilvl="0" w:tentative="0">
      <w:start w:val="1"/>
      <w:numFmt w:val="decimal"/>
      <w:suff w:val="nothing"/>
      <w:lvlText w:val="（%1）"/>
      <w:lvlJc w:val="left"/>
      <w:rPr>
        <w:rFonts w:hint="default"/>
        <w:b w:val="0"/>
        <w:bCs w:val="0"/>
      </w:rPr>
    </w:lvl>
  </w:abstractNum>
  <w:abstractNum w:abstractNumId="83">
    <w:nsid w:val="69C07A9C"/>
    <w:multiLevelType w:val="singleLevel"/>
    <w:tmpl w:val="69C07A9C"/>
    <w:lvl w:ilvl="0" w:tentative="0">
      <w:start w:val="1"/>
      <w:numFmt w:val="lowerLetter"/>
      <w:suff w:val="space"/>
      <w:lvlText w:val="%1."/>
      <w:lvlJc w:val="left"/>
    </w:lvl>
  </w:abstractNum>
  <w:abstractNum w:abstractNumId="84">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1"/>
  </w:num>
  <w:num w:numId="3">
    <w:abstractNumId w:val="53"/>
  </w:num>
  <w:num w:numId="4">
    <w:abstractNumId w:val="45"/>
  </w:num>
  <w:num w:numId="5">
    <w:abstractNumId w:val="23"/>
  </w:num>
  <w:num w:numId="6">
    <w:abstractNumId w:val="85"/>
  </w:num>
  <w:num w:numId="7">
    <w:abstractNumId w:val="39"/>
  </w:num>
  <w:num w:numId="8">
    <w:abstractNumId w:val="86"/>
  </w:num>
  <w:num w:numId="9">
    <w:abstractNumId w:val="59"/>
  </w:num>
  <w:num w:numId="10">
    <w:abstractNumId w:val="55"/>
  </w:num>
  <w:num w:numId="11">
    <w:abstractNumId w:val="36"/>
  </w:num>
  <w:num w:numId="12">
    <w:abstractNumId w:val="33"/>
  </w:num>
  <w:num w:numId="13">
    <w:abstractNumId w:val="41"/>
  </w:num>
  <w:num w:numId="14">
    <w:abstractNumId w:val="32"/>
  </w:num>
  <w:num w:numId="15">
    <w:abstractNumId w:val="24"/>
  </w:num>
  <w:num w:numId="16">
    <w:abstractNumId w:val="13"/>
  </w:num>
  <w:num w:numId="17">
    <w:abstractNumId w:val="20"/>
  </w:num>
  <w:num w:numId="18">
    <w:abstractNumId w:val="10"/>
  </w:num>
  <w:num w:numId="19">
    <w:abstractNumId w:val="11"/>
  </w:num>
  <w:num w:numId="20">
    <w:abstractNumId w:val="9"/>
  </w:num>
  <w:num w:numId="21">
    <w:abstractNumId w:val="40"/>
  </w:num>
  <w:num w:numId="22">
    <w:abstractNumId w:val="7"/>
  </w:num>
  <w:num w:numId="23">
    <w:abstractNumId w:val="2"/>
  </w:num>
  <w:num w:numId="24">
    <w:abstractNumId w:val="54"/>
  </w:num>
  <w:num w:numId="25">
    <w:abstractNumId w:val="35"/>
  </w:num>
  <w:num w:numId="26">
    <w:abstractNumId w:val="56"/>
  </w:num>
  <w:num w:numId="27">
    <w:abstractNumId w:val="61"/>
  </w:num>
  <w:num w:numId="28">
    <w:abstractNumId w:val="83"/>
  </w:num>
  <w:num w:numId="29">
    <w:abstractNumId w:val="47"/>
  </w:num>
  <w:num w:numId="30">
    <w:abstractNumId w:val="22"/>
  </w:num>
  <w:num w:numId="31">
    <w:abstractNumId w:val="46"/>
  </w:num>
  <w:num w:numId="32">
    <w:abstractNumId w:val="26"/>
  </w:num>
  <w:num w:numId="33">
    <w:abstractNumId w:val="8"/>
  </w:num>
  <w:num w:numId="34">
    <w:abstractNumId w:val="58"/>
  </w:num>
  <w:num w:numId="35">
    <w:abstractNumId w:val="6"/>
  </w:num>
  <w:num w:numId="36">
    <w:abstractNumId w:val="38"/>
  </w:num>
  <w:num w:numId="37">
    <w:abstractNumId w:val="44"/>
  </w:num>
  <w:num w:numId="38">
    <w:abstractNumId w:val="84"/>
  </w:num>
  <w:num w:numId="39">
    <w:abstractNumId w:val="37"/>
  </w:num>
  <w:num w:numId="40">
    <w:abstractNumId w:val="25"/>
  </w:num>
  <w:num w:numId="41">
    <w:abstractNumId w:val="49"/>
  </w:num>
  <w:num w:numId="42">
    <w:abstractNumId w:val="0"/>
  </w:num>
  <w:num w:numId="43">
    <w:abstractNumId w:val="28"/>
  </w:num>
  <w:num w:numId="44">
    <w:abstractNumId w:val="52"/>
  </w:num>
  <w:num w:numId="45">
    <w:abstractNumId w:val="4"/>
  </w:num>
  <w:num w:numId="46">
    <w:abstractNumId w:val="29"/>
  </w:num>
  <w:num w:numId="47">
    <w:abstractNumId w:val="19"/>
  </w:num>
  <w:num w:numId="48">
    <w:abstractNumId w:val="57"/>
  </w:num>
  <w:num w:numId="49">
    <w:abstractNumId w:val="42"/>
  </w:num>
  <w:num w:numId="50">
    <w:abstractNumId w:val="21"/>
  </w:num>
  <w:num w:numId="51">
    <w:abstractNumId w:val="34"/>
  </w:num>
  <w:num w:numId="52">
    <w:abstractNumId w:val="30"/>
  </w:num>
  <w:num w:numId="53">
    <w:abstractNumId w:val="31"/>
  </w:num>
  <w:num w:numId="54">
    <w:abstractNumId w:val="82"/>
  </w:num>
  <w:num w:numId="55">
    <w:abstractNumId w:val="48"/>
  </w:num>
  <w:num w:numId="56">
    <w:abstractNumId w:val="3"/>
  </w:num>
  <w:num w:numId="57">
    <w:abstractNumId w:val="60"/>
  </w:num>
  <w:num w:numId="58">
    <w:abstractNumId w:val="14"/>
  </w:num>
  <w:num w:numId="59">
    <w:abstractNumId w:val="12"/>
  </w:num>
  <w:num w:numId="60">
    <w:abstractNumId w:val="15"/>
  </w:num>
  <w:num w:numId="61">
    <w:abstractNumId w:val="43"/>
  </w:num>
  <w:num w:numId="62">
    <w:abstractNumId w:val="27"/>
  </w:num>
  <w:num w:numId="63">
    <w:abstractNumId w:val="5"/>
  </w:num>
  <w:num w:numId="64">
    <w:abstractNumId w:val="51"/>
  </w:num>
  <w:num w:numId="65">
    <w:abstractNumId w:val="69"/>
  </w:num>
  <w:num w:numId="66">
    <w:abstractNumId w:val="68"/>
  </w:num>
  <w:num w:numId="67">
    <w:abstractNumId w:val="70"/>
  </w:num>
  <w:num w:numId="68">
    <w:abstractNumId w:val="71"/>
  </w:num>
  <w:num w:numId="69">
    <w:abstractNumId w:val="72"/>
  </w:num>
  <w:num w:numId="70">
    <w:abstractNumId w:val="73"/>
  </w:num>
  <w:num w:numId="71">
    <w:abstractNumId w:val="74"/>
  </w:num>
  <w:num w:numId="72">
    <w:abstractNumId w:val="75"/>
  </w:num>
  <w:num w:numId="73">
    <w:abstractNumId w:val="50"/>
  </w:num>
  <w:num w:numId="74">
    <w:abstractNumId w:val="18"/>
  </w:num>
  <w:num w:numId="75">
    <w:abstractNumId w:val="62"/>
  </w:num>
  <w:num w:numId="76">
    <w:abstractNumId w:val="63"/>
  </w:num>
  <w:num w:numId="77">
    <w:abstractNumId w:val="64"/>
  </w:num>
  <w:num w:numId="78">
    <w:abstractNumId w:val="65"/>
  </w:num>
  <w:num w:numId="79">
    <w:abstractNumId w:val="66"/>
  </w:num>
  <w:num w:numId="80">
    <w:abstractNumId w:val="67"/>
  </w:num>
  <w:num w:numId="81">
    <w:abstractNumId w:val="76"/>
  </w:num>
  <w:num w:numId="82">
    <w:abstractNumId w:val="77"/>
  </w:num>
  <w:num w:numId="83">
    <w:abstractNumId w:val="17"/>
  </w:num>
  <w:num w:numId="84">
    <w:abstractNumId w:val="78"/>
  </w:num>
  <w:num w:numId="85">
    <w:abstractNumId w:val="79"/>
  </w:num>
  <w:num w:numId="86">
    <w:abstractNumId w:val="80"/>
  </w:num>
  <w:num w:numId="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ab8c09fc-ebb4-4f15-b49e-3b6144cc8e86"/>
  </w:docVars>
  <w:rsids>
    <w:rsidRoot w:val="00172A27"/>
    <w:rsid w:val="004A3A51"/>
    <w:rsid w:val="01364432"/>
    <w:rsid w:val="01523B8E"/>
    <w:rsid w:val="01DC0FD1"/>
    <w:rsid w:val="01E60817"/>
    <w:rsid w:val="01F454C1"/>
    <w:rsid w:val="036B5FEB"/>
    <w:rsid w:val="040B79D9"/>
    <w:rsid w:val="0449537A"/>
    <w:rsid w:val="04886CA1"/>
    <w:rsid w:val="04A52A8E"/>
    <w:rsid w:val="04A74955"/>
    <w:rsid w:val="050A18A0"/>
    <w:rsid w:val="05C21734"/>
    <w:rsid w:val="05E05E4D"/>
    <w:rsid w:val="05EC08FE"/>
    <w:rsid w:val="06420CFA"/>
    <w:rsid w:val="06503B59"/>
    <w:rsid w:val="06DF6F6A"/>
    <w:rsid w:val="0752555A"/>
    <w:rsid w:val="07993F2A"/>
    <w:rsid w:val="07E45984"/>
    <w:rsid w:val="081B7D56"/>
    <w:rsid w:val="0828699A"/>
    <w:rsid w:val="082B58DC"/>
    <w:rsid w:val="082E46BF"/>
    <w:rsid w:val="087B5F6E"/>
    <w:rsid w:val="08E37254"/>
    <w:rsid w:val="097E3F67"/>
    <w:rsid w:val="09851159"/>
    <w:rsid w:val="09B01B43"/>
    <w:rsid w:val="0A1347F5"/>
    <w:rsid w:val="0A2A32B9"/>
    <w:rsid w:val="0B8E27E3"/>
    <w:rsid w:val="0BF71AE2"/>
    <w:rsid w:val="0CA6603D"/>
    <w:rsid w:val="0D0B1B00"/>
    <w:rsid w:val="0D6B1503"/>
    <w:rsid w:val="0DD032F9"/>
    <w:rsid w:val="0E4A4B6F"/>
    <w:rsid w:val="0E670397"/>
    <w:rsid w:val="0EAE473F"/>
    <w:rsid w:val="0EB6095A"/>
    <w:rsid w:val="0EF65480"/>
    <w:rsid w:val="0F920B86"/>
    <w:rsid w:val="1017302D"/>
    <w:rsid w:val="103A21BC"/>
    <w:rsid w:val="10D261C8"/>
    <w:rsid w:val="10E7087B"/>
    <w:rsid w:val="10FA5463"/>
    <w:rsid w:val="11BA058F"/>
    <w:rsid w:val="11C23A9E"/>
    <w:rsid w:val="12081858"/>
    <w:rsid w:val="12B62B3B"/>
    <w:rsid w:val="13031153"/>
    <w:rsid w:val="13181417"/>
    <w:rsid w:val="141530E1"/>
    <w:rsid w:val="142A3D0A"/>
    <w:rsid w:val="14C57FED"/>
    <w:rsid w:val="150C5665"/>
    <w:rsid w:val="153D4CD7"/>
    <w:rsid w:val="159302CA"/>
    <w:rsid w:val="15C56302"/>
    <w:rsid w:val="15D419A2"/>
    <w:rsid w:val="160940BB"/>
    <w:rsid w:val="1659752C"/>
    <w:rsid w:val="16E43A7F"/>
    <w:rsid w:val="185A3DA1"/>
    <w:rsid w:val="18E6578A"/>
    <w:rsid w:val="18F22962"/>
    <w:rsid w:val="196411E6"/>
    <w:rsid w:val="19866890"/>
    <w:rsid w:val="198C4B50"/>
    <w:rsid w:val="19DA666D"/>
    <w:rsid w:val="19F13F4F"/>
    <w:rsid w:val="1A102675"/>
    <w:rsid w:val="1A876B8B"/>
    <w:rsid w:val="1B280245"/>
    <w:rsid w:val="1BBE4697"/>
    <w:rsid w:val="1BEE4FD6"/>
    <w:rsid w:val="1C3F1BB8"/>
    <w:rsid w:val="1C46238A"/>
    <w:rsid w:val="1D3C4AE8"/>
    <w:rsid w:val="1D552DD9"/>
    <w:rsid w:val="1DAB6D83"/>
    <w:rsid w:val="1E3173A3"/>
    <w:rsid w:val="1E410106"/>
    <w:rsid w:val="1E7432BB"/>
    <w:rsid w:val="1ED938B7"/>
    <w:rsid w:val="1F0F5A19"/>
    <w:rsid w:val="1F1D6E1F"/>
    <w:rsid w:val="1F3E7F7D"/>
    <w:rsid w:val="1F51312D"/>
    <w:rsid w:val="1FA140B4"/>
    <w:rsid w:val="1FC9553A"/>
    <w:rsid w:val="1FF00C15"/>
    <w:rsid w:val="20137C57"/>
    <w:rsid w:val="204D3B12"/>
    <w:rsid w:val="205A2AB3"/>
    <w:rsid w:val="20B6224D"/>
    <w:rsid w:val="21025026"/>
    <w:rsid w:val="21B93623"/>
    <w:rsid w:val="21C22F06"/>
    <w:rsid w:val="22A04AF7"/>
    <w:rsid w:val="22D32481"/>
    <w:rsid w:val="22D3594B"/>
    <w:rsid w:val="22F12819"/>
    <w:rsid w:val="23393314"/>
    <w:rsid w:val="23753F06"/>
    <w:rsid w:val="238D2456"/>
    <w:rsid w:val="238E1AAE"/>
    <w:rsid w:val="240F2156"/>
    <w:rsid w:val="24345B9A"/>
    <w:rsid w:val="2483647E"/>
    <w:rsid w:val="256F076F"/>
    <w:rsid w:val="2610340F"/>
    <w:rsid w:val="26820AF7"/>
    <w:rsid w:val="26966D40"/>
    <w:rsid w:val="292668E3"/>
    <w:rsid w:val="29E26197"/>
    <w:rsid w:val="2A1B5D68"/>
    <w:rsid w:val="2A5975B6"/>
    <w:rsid w:val="2A991D32"/>
    <w:rsid w:val="2AB92324"/>
    <w:rsid w:val="2AD6555A"/>
    <w:rsid w:val="2AE62718"/>
    <w:rsid w:val="2B1902F3"/>
    <w:rsid w:val="2B376BE0"/>
    <w:rsid w:val="2BE72798"/>
    <w:rsid w:val="2C1A577E"/>
    <w:rsid w:val="2C1B1E9D"/>
    <w:rsid w:val="2CAB68C5"/>
    <w:rsid w:val="2DBA4E45"/>
    <w:rsid w:val="2E45409C"/>
    <w:rsid w:val="2EBC6D03"/>
    <w:rsid w:val="2F1F666C"/>
    <w:rsid w:val="2F59643F"/>
    <w:rsid w:val="2F802D62"/>
    <w:rsid w:val="2FD32A37"/>
    <w:rsid w:val="2FE9188B"/>
    <w:rsid w:val="30551FFC"/>
    <w:rsid w:val="307D2E0A"/>
    <w:rsid w:val="30E93DB6"/>
    <w:rsid w:val="311F702A"/>
    <w:rsid w:val="314968B6"/>
    <w:rsid w:val="31A82883"/>
    <w:rsid w:val="320E3E15"/>
    <w:rsid w:val="32C937E9"/>
    <w:rsid w:val="333F6AA7"/>
    <w:rsid w:val="33F7523E"/>
    <w:rsid w:val="3480359E"/>
    <w:rsid w:val="34BE4ED5"/>
    <w:rsid w:val="352B31D6"/>
    <w:rsid w:val="35476F5E"/>
    <w:rsid w:val="35C572EB"/>
    <w:rsid w:val="3602513D"/>
    <w:rsid w:val="36631FD8"/>
    <w:rsid w:val="366A0F47"/>
    <w:rsid w:val="36E72D9B"/>
    <w:rsid w:val="377E5373"/>
    <w:rsid w:val="379F2ED6"/>
    <w:rsid w:val="37CA172C"/>
    <w:rsid w:val="37CB10A0"/>
    <w:rsid w:val="38071350"/>
    <w:rsid w:val="38224FD0"/>
    <w:rsid w:val="38696564"/>
    <w:rsid w:val="38BC5508"/>
    <w:rsid w:val="3A3E2041"/>
    <w:rsid w:val="3B131EF6"/>
    <w:rsid w:val="3B490D86"/>
    <w:rsid w:val="3C2F2290"/>
    <w:rsid w:val="3CE74578"/>
    <w:rsid w:val="3D8434FB"/>
    <w:rsid w:val="3E163924"/>
    <w:rsid w:val="3EA67C14"/>
    <w:rsid w:val="3EAD1B36"/>
    <w:rsid w:val="3F056B9E"/>
    <w:rsid w:val="3F354A62"/>
    <w:rsid w:val="3FF54C55"/>
    <w:rsid w:val="406370BC"/>
    <w:rsid w:val="40FB7670"/>
    <w:rsid w:val="41B60000"/>
    <w:rsid w:val="423C06E2"/>
    <w:rsid w:val="42815397"/>
    <w:rsid w:val="42C94634"/>
    <w:rsid w:val="43423D19"/>
    <w:rsid w:val="43B62261"/>
    <w:rsid w:val="43BA23DE"/>
    <w:rsid w:val="45540446"/>
    <w:rsid w:val="45BB5620"/>
    <w:rsid w:val="45F127ED"/>
    <w:rsid w:val="46263D02"/>
    <w:rsid w:val="46CD66A0"/>
    <w:rsid w:val="46D80EF6"/>
    <w:rsid w:val="472803B7"/>
    <w:rsid w:val="488B59A4"/>
    <w:rsid w:val="494502E1"/>
    <w:rsid w:val="498F4F85"/>
    <w:rsid w:val="4A3D69E6"/>
    <w:rsid w:val="4A6F7B99"/>
    <w:rsid w:val="4A7F0ADF"/>
    <w:rsid w:val="4AA612F0"/>
    <w:rsid w:val="4B0D3113"/>
    <w:rsid w:val="4B5270B8"/>
    <w:rsid w:val="4C4D2C94"/>
    <w:rsid w:val="4C6B0DDA"/>
    <w:rsid w:val="4C6E1306"/>
    <w:rsid w:val="4CAB7CC1"/>
    <w:rsid w:val="4DEE1021"/>
    <w:rsid w:val="4E186164"/>
    <w:rsid w:val="4E2F1033"/>
    <w:rsid w:val="4E8274B0"/>
    <w:rsid w:val="4EFC1B31"/>
    <w:rsid w:val="4F2836A5"/>
    <w:rsid w:val="4FF363B3"/>
    <w:rsid w:val="501216FC"/>
    <w:rsid w:val="50B73634"/>
    <w:rsid w:val="513B62C0"/>
    <w:rsid w:val="51504FE6"/>
    <w:rsid w:val="53111AD8"/>
    <w:rsid w:val="532207FA"/>
    <w:rsid w:val="53FE3DB0"/>
    <w:rsid w:val="54E91D9C"/>
    <w:rsid w:val="552247DE"/>
    <w:rsid w:val="55A47BB4"/>
    <w:rsid w:val="55D11632"/>
    <w:rsid w:val="55E92585"/>
    <w:rsid w:val="56804A86"/>
    <w:rsid w:val="57184991"/>
    <w:rsid w:val="5790790A"/>
    <w:rsid w:val="57BB6218"/>
    <w:rsid w:val="57FF3AAA"/>
    <w:rsid w:val="58DD2EEE"/>
    <w:rsid w:val="58E96C7A"/>
    <w:rsid w:val="59AD3C67"/>
    <w:rsid w:val="59CC6D6F"/>
    <w:rsid w:val="5A1A1165"/>
    <w:rsid w:val="5ABA33EB"/>
    <w:rsid w:val="5B0D630F"/>
    <w:rsid w:val="5B5D608F"/>
    <w:rsid w:val="5C33703B"/>
    <w:rsid w:val="5C3C3DDC"/>
    <w:rsid w:val="5D160516"/>
    <w:rsid w:val="5D7D0F36"/>
    <w:rsid w:val="5DB61BFF"/>
    <w:rsid w:val="5DE439ED"/>
    <w:rsid w:val="5DEF454B"/>
    <w:rsid w:val="5E5A6C63"/>
    <w:rsid w:val="5F3C6712"/>
    <w:rsid w:val="5F4B58F3"/>
    <w:rsid w:val="6053481F"/>
    <w:rsid w:val="606E0DED"/>
    <w:rsid w:val="60716FC0"/>
    <w:rsid w:val="60AB2000"/>
    <w:rsid w:val="610129B1"/>
    <w:rsid w:val="612D6938"/>
    <w:rsid w:val="61D7419E"/>
    <w:rsid w:val="61D85325"/>
    <w:rsid w:val="62860AAA"/>
    <w:rsid w:val="628B7CEE"/>
    <w:rsid w:val="629D5796"/>
    <w:rsid w:val="62C476E5"/>
    <w:rsid w:val="64F94C33"/>
    <w:rsid w:val="657A160B"/>
    <w:rsid w:val="66DD4F9F"/>
    <w:rsid w:val="67182835"/>
    <w:rsid w:val="671E2162"/>
    <w:rsid w:val="678438DB"/>
    <w:rsid w:val="67CD5EA6"/>
    <w:rsid w:val="686B34D1"/>
    <w:rsid w:val="68D8721E"/>
    <w:rsid w:val="6A455E4A"/>
    <w:rsid w:val="6A79436D"/>
    <w:rsid w:val="6B3A5BD0"/>
    <w:rsid w:val="6B3C7023"/>
    <w:rsid w:val="6B610D05"/>
    <w:rsid w:val="6BAC21D5"/>
    <w:rsid w:val="6C0A0D76"/>
    <w:rsid w:val="6C1D42E9"/>
    <w:rsid w:val="6C3E5296"/>
    <w:rsid w:val="6C952DF1"/>
    <w:rsid w:val="6CED1CB3"/>
    <w:rsid w:val="6D201CAE"/>
    <w:rsid w:val="6D3B42C3"/>
    <w:rsid w:val="6DDE0D10"/>
    <w:rsid w:val="6E082488"/>
    <w:rsid w:val="6E5969DC"/>
    <w:rsid w:val="6E7B6A0F"/>
    <w:rsid w:val="6E7E575F"/>
    <w:rsid w:val="6EF15941"/>
    <w:rsid w:val="6F9921A1"/>
    <w:rsid w:val="6FB83EF3"/>
    <w:rsid w:val="717F4370"/>
    <w:rsid w:val="72AD68DB"/>
    <w:rsid w:val="73407EBD"/>
    <w:rsid w:val="73EF4563"/>
    <w:rsid w:val="74175679"/>
    <w:rsid w:val="742F0C48"/>
    <w:rsid w:val="744124AA"/>
    <w:rsid w:val="74664F47"/>
    <w:rsid w:val="7468660B"/>
    <w:rsid w:val="75032B80"/>
    <w:rsid w:val="754566C7"/>
    <w:rsid w:val="774F618E"/>
    <w:rsid w:val="77DC27D8"/>
    <w:rsid w:val="77E0572E"/>
    <w:rsid w:val="77ED4104"/>
    <w:rsid w:val="789508C5"/>
    <w:rsid w:val="78EF4372"/>
    <w:rsid w:val="79771B00"/>
    <w:rsid w:val="7980282D"/>
    <w:rsid w:val="798F6426"/>
    <w:rsid w:val="79E60E88"/>
    <w:rsid w:val="7A450BCE"/>
    <w:rsid w:val="7A5520F1"/>
    <w:rsid w:val="7ACA272A"/>
    <w:rsid w:val="7B0E7C70"/>
    <w:rsid w:val="7B2F5D22"/>
    <w:rsid w:val="7C8B1B8E"/>
    <w:rsid w:val="7CBE6536"/>
    <w:rsid w:val="7D4A0F3E"/>
    <w:rsid w:val="7E6F339A"/>
    <w:rsid w:val="7E810662"/>
    <w:rsid w:val="7F4657EE"/>
    <w:rsid w:val="7F590AE3"/>
    <w:rsid w:val="7FC44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9"/>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1"/>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3"/>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character" w:customStyle="1" w:styleId="19">
    <w:name w:val="标题 1 Char"/>
    <w:link w:val="2"/>
    <w:qFormat/>
    <w:uiPriority w:val="0"/>
    <w:rPr>
      <w:rFonts w:eastAsia="宋体"/>
      <w:b/>
      <w:kern w:val="44"/>
      <w:sz w:val="44"/>
    </w:rPr>
  </w:style>
  <w:style w:type="character" w:customStyle="1" w:styleId="20">
    <w:name w:val="批注框文本 Char"/>
    <w:link w:val="6"/>
    <w:qFormat/>
    <w:uiPriority w:val="0"/>
    <w:rPr>
      <w:rFonts w:ascii="Calibri" w:hAnsi="Calibri" w:cs="黑体"/>
      <w:kern w:val="2"/>
      <w:sz w:val="18"/>
      <w:szCs w:val="18"/>
    </w:rPr>
  </w:style>
  <w:style w:type="character" w:customStyle="1" w:styleId="21">
    <w:name w:val="标题 2 Char"/>
    <w:link w:val="3"/>
    <w:qFormat/>
    <w:uiPriority w:val="0"/>
    <w:rPr>
      <w:rFonts w:ascii="Arial" w:hAnsi="Arial" w:eastAsia="宋体"/>
      <w:b/>
      <w:sz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标题 3 Char"/>
    <w:link w:val="4"/>
    <w:qFormat/>
    <w:uiPriority w:val="0"/>
    <w:rPr>
      <w:rFonts w:hAnsi="Calibri" w:eastAsia="宋体"/>
      <w:b/>
      <w:sz w:val="24"/>
    </w:rPr>
  </w:style>
  <w:style w:type="character" w:customStyle="1" w:styleId="24">
    <w:name w:val="批注文字 Char"/>
    <w:link w:val="5"/>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35785</Words>
  <Characters>37475</Characters>
  <Lines>210</Lines>
  <Paragraphs>59</Paragraphs>
  <TotalTime>0</TotalTime>
  <ScaleCrop>false</ScaleCrop>
  <LinksUpToDate>false</LinksUpToDate>
  <CharactersWithSpaces>37714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hccb</cp:lastModifiedBy>
  <dcterms:modified xsi:type="dcterms:W3CDTF">2025-09-15T01:04:06Z</dcterms:modified>
  <dc:title>杭银理财幸福99XXXX理财计划合同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