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幸福99丰裕固收386天25164期理财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幸福99丰裕固收386天25164期理财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幸福99丰裕固收386天25164期理财风险揭示书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幸福99丰裕固收386天25164期理财产品说明书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幸福99丰裕固收386天25164期理财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代理销售</w:t>
      </w:r>
      <w:r>
        <w:rPr>
          <w:rFonts w:hint="eastAsia" w:ascii="宋体" w:hAnsi="宋体" w:cs="宋体"/>
          <w:bCs/>
          <w:sz w:val="24"/>
          <w:highlight w:val="none"/>
          <w:lang w:eastAsia="zh-CN"/>
        </w:rPr>
        <w:t>）</w:t>
      </w:r>
      <w:r>
        <w:rPr>
          <w:rFonts w:hint="eastAsia" w:ascii="宋体" w:hAnsi="宋体" w:cs="宋体"/>
          <w:bCs/>
          <w:sz w:val="24"/>
          <w:highlight w:val="none"/>
        </w:rPr>
        <w:t>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w:t>
      </w:r>
      <w:r>
        <w:rPr>
          <w:rFonts w:hint="eastAsia" w:ascii="宋体" w:hAnsi="宋体" w:cs="宋体"/>
          <w:b/>
          <w:sz w:val="24"/>
          <w:highlight w:val="none"/>
          <w:lang w:val="en-US" w:eastAsia="zh-CN"/>
        </w:rPr>
        <w:t>可</w:t>
      </w:r>
      <w:r>
        <w:rPr>
          <w:rFonts w:hint="eastAsia" w:ascii="宋体" w:hAnsi="宋体" w:cs="宋体"/>
          <w:b/>
          <w:sz w:val="24"/>
          <w:highlight w:val="none"/>
        </w:rPr>
        <w:t>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幸福99丰裕固收386天25164期理财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Z7002225000308</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幸福99丰裕固收386天25164期理财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幸福99丰裕固收386天25164期理财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幸福99丰裕固收386天25164期理财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幸福99丰裕固收386天25164期理财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幸福99丰裕固收386天25164期理财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幸福99丰裕固收386天25164期理财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w:t>
      </w:r>
      <w:r>
        <w:rPr>
          <w:rFonts w:hint="eastAsia" w:ascii="宋体" w:hAnsi="宋体" w:cs="宋体"/>
          <w:szCs w:val="21"/>
          <w:highlight w:val="none"/>
        </w:rPr>
        <w:t>〖</w:t>
      </w:r>
      <w:r>
        <w:rPr>
          <w:rFonts w:hint="eastAsia" w:ascii="宋体" w:hAnsi="宋体" w:cs="宋体"/>
          <w:bCs/>
          <w:highlight w:val="none"/>
        </w:rPr>
        <w:t>上海证券交易所、深圳证券交易所</w:t>
      </w:r>
      <w:r>
        <w:rPr>
          <w:rFonts w:hint="eastAsia" w:ascii="宋体" w:hAnsi="宋体" w:cs="宋体"/>
          <w:szCs w:val="21"/>
          <w:highlight w:val="none"/>
        </w:rPr>
        <w:t>〗</w:t>
      </w:r>
      <w:r>
        <w:rPr>
          <w:rFonts w:hint="eastAsia" w:ascii="宋体" w:hAnsi="宋体" w:cs="宋体"/>
          <w:bCs/>
          <w:highlight w:val="none"/>
        </w:rPr>
        <w:t>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b/>
          <w:bCs/>
          <w:highlight w:val="none"/>
          <w:lang w:val="en-US" w:eastAsia="zh-CN"/>
        </w:rPr>
        <w:t>投资退出期：</w:t>
      </w:r>
      <w:r>
        <w:rPr>
          <w:rFonts w:hint="eastAsia" w:ascii="Times New Roman" w:hAnsi="Times New Roman" w:eastAsia="宋体" w:cs="Times New Roman"/>
          <w:highlight w:val="none"/>
          <w:lang w:val="en-US" w:eastAsia="zh-CN"/>
        </w:rPr>
        <w:t>是指理财计划临近到期前，管理人通过资产变现用以进行资金交割清算的准备期。</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幸福99丰裕固收386天25164期理财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丰裕固收25164期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本理财计划在全国银行业理财信息登记系统的登记编码是〖Z7002225000308〗，投资者可依据该编码在“中国理财网（www.chinawealth.com.cn）”查询本理财计划信息。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A份额（销售代码〖FYG25164A〗）：普通个人投资者和机构客户。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B份额（销售代码〖FYG25164B〗）：普通个人投资者和机构客户。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C份额（销售代码〖FYG25164C〗）：普通个人投资者和机构客户。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D份额（销售代码〖FYG25164D〗）：普通个人投资者和机构客户。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E份额（公司专属）（销售代码〖FYG25164E〗）：普通个人投资者和机构客户。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F份额（销售代码〖FYG25164F〗）：普通个人投资者和机构客户。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G份额（销售代码〖FYG25164G〗）：普通个人投资者和机构客户。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H份额（北行专属）（销售代码〖FYG25164H〗）：普通个人投资者和机构客户。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I份额（爽盈优选）（销售代码〖FYG25164I〗）：普通个人投资者和机构客户。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J份额（销售代码〖FYG25164J〗）：普通个人投资者和机构客户。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K份额（鲲鹏优选）（销售代码〖FYG25164K〗）：普通个人投资者和机构客户。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L份额（兰行专属）（销售代码〖FYG25164L〗）：普通个人投资者和机构客户。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N份额惠享款（长长财富·专属）（销售代码〖FYG25164N〗）：普通个人投资者和机构客户。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O份额（销售代码〖FYG25164O〗）：普通个人投资者和机构客户。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P份额（芙蓉锦程·优选）（销售代码〖FYG25164P〗）：普通个人投资者和机构客户。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Q份额惠享款（候鸟专属）（销售代码〖FYG25164Q〗）：普通个人投资者和机构客户。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R份额惠享款吉行十二号（销售代码〖FYG25164R〗）：普通个人投资者和机构客户。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S份额惠享款（齐鲁-逢六有约）（销售代码〖FYG25164S〗）：普通个人投资者和机构客户。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U份额惠享款（销售代码〖FYG25164U〗）：普通个人投资者和机构客户。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V份额（金芙蓉专属）（销售代码〖FYG25164V〗）：普通个人投资者和机构客户。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W份额惠享款（销售代码〖FYG25164W〗）：普通个人投资者和机构客户。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X份额（销售代码〖FYG25164X〗）：普通个人投资者。</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Y份额惠享款（销售代码〖FYG25164Y〗）：普通个人投资者和机构客户。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Z份额惠享款（销售代码〖FYG25164Z〗）：普通个人投资者和机构客户。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〖2025〗年〖8〗月〖26〗日-〖2025〗年〖9〗月〖1〗日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〖2026〗年〖9〗月〖23〗日，若到期日为非工作日则顺延至下一个工作日。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〖O份额〗起点〖1〗元整，超过认购起点部分，应为〖1〗元的整数倍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〖S份额〗起点〖1〗元整，超过认购起点部分，应为〖1〗元的整数倍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〖X份额〗起点〖1〗元整，超过认购起点部分，应为〖1〗元的整数倍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本理财计划〖E份额〗业绩比较基准为〖2.25%-2.55%〗（年化）。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本理财计划〖O份额〗业绩比较基准为〖2.50%-2.80%〗（年化）。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本理财计划〖S份额〗业绩比较基准为〖2.56%-2.86%〗（年化）。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本理财计划〖X份额〗业绩比较基准为〖2.65%-2.95%〗（年化）。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〖F份额〗收取年化〖0.15%〗的销售服务费,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〖N份额〗收取年化〖0.20%〗的销售服务费, 〖O份额〗收取年化〖0.20%〗的销售服务费, 〖P份额〗收取年化〖0.15%〗的销售服务费, 〖Q份额〗收取年化〖0.10%〗的销售服务费, 〖R份额〗收取年化〖0.15%〗的销售服务费, 〖S份额〗收取年化〖0.15%〗的销售服务费, 〖U份额〗收取年化〖0.20%〗的销售服务费, 〖V份额〗收取年化〖0.10%〗的销售服务费, 〖W份额〗收取年化〖0.30%〗的销售服务费, 〖X份额〗收取年化〖0.05%〗的销售服务费, 〖Y份额〗收取年化〖0.20%〗的销售服务费, 〖Z份额〗收取年化〖0.10%〗的销售服务费。其中〖A份额〗、〖B份额〗、〖C份额〗、〖D份额〗、〖E份额〗、〖F份额〗、〖G份额〗、〖H份额〗、〖I份额〗、〖J份额〗、〖K份额〗、〖L份额〗、〖O份额〗、〖P份额〗、〖V份额〗、〖X份额〗对应份额每日计提销售服务费；〖N份额〗、〖Q份额〗、〖R份额〗、〖S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〖F份额〗收取年化〖0.05%〗的固定管理费,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〖N份额〗收取年化〖0.05%〗的固定管理费, 〖O份额〗收取年化〖0.05%〗的固定管理费, 〖P份额〗收取年化〖0.05%〗的固定管理费, 〖Q份额〗收取年化〖0.05%〗的固定管理费, 〖R份额〗收取年化〖0.05%〗的固定管理费, 〖S份额〗收取年化〖0.04%〗的固定管理费, 〖U份额〗收取年化〖0.05%〗的固定管理费, 〖V份额〗收取年化〖0.05%〗的固定管理费, 〖W份额〗收取年化〖0.05%〗的固定管理费, 〖X份额〗收取年化〖0.05%〗的固定管理费,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5.浮动管理费：管理人根据理财计划投资情况计算浮动管理费，本理财计划份额（O份额除外）到期日（提前终止日）的折合年化收益率在〖业绩比较基准下限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〖O份额〗到期日（提前终止日）的折合年化收益率在〖业绩比较基准下限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至中枢</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业绩比较基准中枢</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〖60%〗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0"/>
        </w:numPr>
        <w:spacing w:line="360" w:lineRule="auto"/>
        <w:ind w:firstLine="480" w:firstLineChars="200"/>
        <w:jc w:val="left"/>
        <w:outlineLvl w:val="9"/>
        <w:rPr>
          <w:rFonts w:hint="eastAsia" w:ascii="宋体" w:hAnsi="宋体" w:cs="宋体"/>
          <w:b w:val="0"/>
          <w:bCs/>
          <w:color w:val="auto"/>
          <w:sz w:val="24"/>
          <w:highlight w:val="none"/>
        </w:rPr>
      </w:pPr>
      <w:r>
        <w:rPr>
          <w:rFonts w:hint="eastAsia" w:ascii="宋体" w:hAnsi="宋体" w:cs="宋体"/>
          <w:bCs/>
          <w:color w:val="auto"/>
          <w:kern w:val="2"/>
          <w:sz w:val="24"/>
          <w:highlight w:val="none"/>
        </w:rPr>
        <w:t>本理财计划自成立日起</w:t>
      </w:r>
      <w:r>
        <w:rPr>
          <w:rFonts w:hint="eastAsia" w:ascii="宋体" w:hAnsi="宋体" w:cs="宋体"/>
          <w:bCs/>
          <w:sz w:val="24"/>
          <w:highlight w:val="none"/>
        </w:rPr>
        <w:t>〖</w:t>
      </w:r>
      <w:r>
        <w:rPr>
          <w:rFonts w:hint="eastAsia" w:ascii="宋体" w:hAnsi="宋体" w:cs="宋体"/>
          <w:bCs/>
          <w:color w:val="auto"/>
          <w:kern w:val="2"/>
          <w:sz w:val="24"/>
          <w:highlight w:val="none"/>
          <w:lang w:val="en-US" w:eastAsia="zh-CN"/>
        </w:rPr>
        <w:t>1个月</w:t>
      </w:r>
      <w:r>
        <w:rPr>
          <w:rFonts w:hint="eastAsia" w:ascii="宋体" w:hAnsi="宋体" w:cs="宋体"/>
          <w:bCs/>
          <w:sz w:val="24"/>
          <w:highlight w:val="none"/>
        </w:rPr>
        <w:t>〗</w:t>
      </w:r>
      <w:r>
        <w:rPr>
          <w:rFonts w:hint="eastAsia" w:ascii="宋体" w:hAnsi="宋体" w:cs="宋体"/>
          <w:bCs/>
          <w:color w:val="auto"/>
          <w:kern w:val="2"/>
          <w:sz w:val="24"/>
          <w:highlight w:val="none"/>
        </w:rPr>
        <w:t>为建仓期，管理人应当在建仓期结束前使各项投资比例符合约定。</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在理财计划存续期间如遇市场变化导致各类投资品投资比例暂时超出以上范围，为保护投资者利益，管理人将在流动性受限资产可出售、可转让或者恢复交易的15个交易日内调整至上述比例范围。</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当出现金融市场发生重大变化、理财计划出现大比例规模变化等情况，为保护投资者利益，管理人有权根据市场情况超出约定比例范围投资较低风险资产。</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本理财计划存在投资退出期，投资退出期至理财计划到期终止期间，为保障投资管理平稳运作，投资组合比例可能超出约定投资范围比例。</w:t>
      </w:r>
    </w:p>
    <w:p>
      <w:pPr>
        <w:pStyle w:val="13"/>
        <w:numPr>
          <w:ilvl w:val="0"/>
          <w:numId w:val="22"/>
        </w:numPr>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3"/>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30"/>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105"/>
        <w:gridCol w:w="5041"/>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厦门农村商业银行股份有限公司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中国(福建)自由贸易试验区厦门片区东港北路31号(1层、17层、19层、27-28层、30-31层)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40083-96336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H份额〗、〖I份额〗、〖J份额〗、〖K份额〗、〖L份额〗、〖O份额〗、〖P份额〗、〖V份额〗、〖X份额〗和销售服务费于产品成立日一次性收取的〖N份额〗、〖Q份额〗、〖R份额〗、〖S份额〗、〖U份额〗、〖W份额〗、〖Y份额〗、〖Z份额〗。A份额的年化销售服务费率为〖0.30%〗, B份额的年化销售服务费率为〖0.20%〗, C份额的年化销售服务费率为〖0.10%〗, D份额的年化销售服务费率为〖0.15%〗, E份额的年化销售服务费率为〖0.40%〗, F份额的年化销售服务费率为〖0.15%〗,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N份额的年化销售服务费率为〖0.20%〗, O份额的年化销售服务费率为〖0.20%〗, P份额的年化销售服务费率为〖0.15%〗, Q份额的年化销售服务费率为〖0.10%〗, R份额的年化销售服务费率为〖0.15%〗, S份额的年化销售服务费率为〖0.15%〗, U份额的年化销售服务费率为〖0.20%〗, V份额的年化销售服务费率为〖0.10%〗, W份额的年化销售服务费率为〖0.30%〗, X份额的年化销售服务费率为〖0.05%〗,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F份额的年化固定管理费率为〖0.05%〗,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N份额的年化固定管理费率为〖0.05%〗, O份额的年化固定管理费率为〖0.05%〗, P份额的年化固定管理费率为〖0.05%〗, Q份额的年化固定管理费率为〖0.05%〗, R份额的年化固定管理费率为〖0.05%〗, S份额的年化固定管理费率为〖0.04%〗, U份额的年化固定管理费率为〖0.05%〗, V份额的年化固定管理费率为〖0.05%〗, W份额的年化固定管理费率为〖0.05%〗, X份额的年化固定管理费率为〖0.05%〗,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理财管理人根据理财计划投资情况计算浮动管理费，浮动管理费原则上按估值日计提，到期收取。以〖A份额〗为例，具体计算方法如下：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w:t>
      </w:r>
      <w:r>
        <w:rPr>
          <w:rFonts w:hint="eastAsia" w:ascii="宋体" w:hAnsi="宋体" w:cs="宋体"/>
          <w:kern w:val="0"/>
          <w:sz w:val="24"/>
          <w:highlight w:val="none"/>
          <w:lang w:val="en-US" w:eastAsia="zh-CN"/>
        </w:rPr>
        <w:t>代理销售</w:t>
      </w:r>
      <w:r>
        <w:rPr>
          <w:rFonts w:hint="eastAsia" w:ascii="宋体" w:hAnsi="宋体" w:cs="宋体"/>
          <w:kern w:val="0"/>
          <w:sz w:val="24"/>
          <w:highlight w:val="none"/>
          <w:lang w:eastAsia="zh-CN"/>
        </w:rPr>
        <w:t>）销售协议书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r>
        <w:rPr>
          <w:rFonts w:hint="eastAsia" w:ascii="宋体" w:hAnsi="宋体" w:cs="宋体"/>
          <w:kern w:val="0"/>
          <w:sz w:val="24"/>
          <w:highlight w:val="none"/>
          <w:lang w:val="en-US" w:eastAsia="zh-CN"/>
        </w:rPr>
        <w:t>在没有销售人员推介的情况下，投资者通过自助终端等电子设备进行自主购买的情况除外。</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6"/>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4"/>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202502</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（202502</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2" w:name="_GoBack"/>
      <w:bookmarkEnd w:id="2"/>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8F6C37C"/>
    <w:multiLevelType w:val="singleLevel"/>
    <w:tmpl w:val="68F6C37C"/>
    <w:lvl w:ilvl="0" w:tentative="0">
      <w:start w:val="1"/>
      <w:numFmt w:val="decimal"/>
      <w:lvlText w:val="%1."/>
      <w:lvlJc w:val="left"/>
      <w:pPr>
        <w:tabs>
          <w:tab w:val="left" w:pos="312"/>
        </w:tabs>
      </w:pPr>
      <w:rPr>
        <w:rFonts w:hint="default"/>
        <w:highlight w:val="none"/>
      </w:rPr>
    </w:lvl>
  </w:abstractNum>
  <w:abstractNum w:abstractNumId="7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3"/>
  </w:num>
  <w:num w:numId="7">
    <w:abstractNumId w:val="32"/>
  </w:num>
  <w:num w:numId="8">
    <w:abstractNumId w:val="74"/>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71"/>
  </w:num>
  <w:num w:numId="23">
    <w:abstractNumId w:val="5"/>
  </w:num>
  <w:num w:numId="24">
    <w:abstractNumId w:val="1"/>
  </w:num>
  <w:num w:numId="25">
    <w:abstractNumId w:val="44"/>
  </w:num>
  <w:num w:numId="26">
    <w:abstractNumId w:val="29"/>
  </w:num>
  <w:num w:numId="27">
    <w:abstractNumId w:val="20"/>
  </w:num>
  <w:num w:numId="28">
    <w:abstractNumId w:val="39"/>
  </w:num>
  <w:num w:numId="29">
    <w:abstractNumId w:val="23"/>
  </w:num>
  <w:num w:numId="30">
    <w:abstractNumId w:val="6"/>
  </w:num>
  <w:num w:numId="31">
    <w:abstractNumId w:val="47"/>
  </w:num>
  <w:num w:numId="32">
    <w:abstractNumId w:val="4"/>
  </w:num>
  <w:num w:numId="33">
    <w:abstractNumId w:val="70"/>
  </w:num>
  <w:num w:numId="34">
    <w:abstractNumId w:val="37"/>
  </w:num>
  <w:num w:numId="35">
    <w:abstractNumId w:val="72"/>
  </w:num>
  <w:num w:numId="36">
    <w:abstractNumId w:val="31"/>
  </w:num>
  <w:num w:numId="37">
    <w:abstractNumId w:val="25"/>
  </w:num>
  <w:num w:numId="38">
    <w:abstractNumId w:val="42"/>
  </w:num>
  <w:num w:numId="39">
    <w:abstractNumId w:val="2"/>
  </w:num>
  <w:num w:numId="40">
    <w:abstractNumId w:val="26"/>
  </w:num>
  <w:num w:numId="41">
    <w:abstractNumId w:val="17"/>
  </w:num>
  <w:num w:numId="42">
    <w:abstractNumId w:val="46"/>
  </w:num>
  <w:num w:numId="43">
    <w:abstractNumId w:val="35"/>
  </w:num>
  <w:num w:numId="44">
    <w:abstractNumId w:val="19"/>
  </w:num>
  <w:num w:numId="45">
    <w:abstractNumId w:val="49"/>
  </w:num>
  <w:num w:numId="46">
    <w:abstractNumId w:val="12"/>
  </w:num>
  <w:num w:numId="47">
    <w:abstractNumId w:val="10"/>
  </w:num>
  <w:num w:numId="48">
    <w:abstractNumId w:val="13"/>
  </w:num>
  <w:num w:numId="49">
    <w:abstractNumId w:val="36"/>
  </w:num>
  <w:num w:numId="50">
    <w:abstractNumId w:val="24"/>
  </w:num>
  <w:num w:numId="51">
    <w:abstractNumId w:val="3"/>
  </w:num>
  <w:num w:numId="52">
    <w:abstractNumId w:val="41"/>
  </w:num>
  <w:num w:numId="53">
    <w:abstractNumId w:val="57"/>
  </w:num>
  <w:num w:numId="54">
    <w:abstractNumId w:val="56"/>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40"/>
  </w:num>
  <w:num w:numId="62">
    <w:abstractNumId w:val="16"/>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64"/>
  </w:num>
  <w:num w:numId="70">
    <w:abstractNumId w:val="65"/>
  </w:num>
  <w:num w:numId="71">
    <w:abstractNumId w:val="15"/>
  </w:num>
  <w:num w:numId="72">
    <w:abstractNumId w:val="66"/>
  </w:num>
  <w:num w:numId="73">
    <w:abstractNumId w:val="67"/>
  </w:num>
  <w:num w:numId="74">
    <w:abstractNumId w:val="68"/>
  </w:num>
  <w:num w:numId="7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BE3CCF"/>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A835642"/>
    <w:rsid w:val="1B4B1291"/>
    <w:rsid w:val="1B757EAF"/>
    <w:rsid w:val="1CAD01AC"/>
    <w:rsid w:val="1D4F0AE0"/>
    <w:rsid w:val="1D7F3295"/>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FF4CC1"/>
    <w:rsid w:val="33C67AA9"/>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0570634"/>
    <w:rsid w:val="41487A0A"/>
    <w:rsid w:val="42342BAA"/>
    <w:rsid w:val="425B6A60"/>
    <w:rsid w:val="426E7500"/>
    <w:rsid w:val="43685ADB"/>
    <w:rsid w:val="44045C03"/>
    <w:rsid w:val="446A4F91"/>
    <w:rsid w:val="46DB254E"/>
    <w:rsid w:val="478A2A1D"/>
    <w:rsid w:val="47C36E36"/>
    <w:rsid w:val="47FFEEA7"/>
    <w:rsid w:val="48A3615E"/>
    <w:rsid w:val="48B73C2B"/>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7C8521F"/>
    <w:rsid w:val="5851778C"/>
    <w:rsid w:val="58A020D2"/>
    <w:rsid w:val="5A5F3178"/>
    <w:rsid w:val="5A6368AB"/>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8A1454F"/>
    <w:rsid w:val="69644745"/>
    <w:rsid w:val="69BC658F"/>
    <w:rsid w:val="6A042D14"/>
    <w:rsid w:val="6ABE1B22"/>
    <w:rsid w:val="6AF26EB9"/>
    <w:rsid w:val="6B29233B"/>
    <w:rsid w:val="6B8C2015"/>
    <w:rsid w:val="6C1B5E3A"/>
    <w:rsid w:val="6C3E06A6"/>
    <w:rsid w:val="6D966DB7"/>
    <w:rsid w:val="6DFFC3DA"/>
    <w:rsid w:val="6E9FBD1B"/>
    <w:rsid w:val="6EE209DA"/>
    <w:rsid w:val="6F8417AE"/>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8D465E"/>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7"/>
    <w:uiPriority w:val="0"/>
    <w:rPr>
      <w:b/>
      <w:bCs/>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文字 Char"/>
    <w:link w:val="2"/>
    <w:uiPriority w:val="0"/>
    <w:rPr>
      <w:rFonts w:ascii="Calibri" w:hAnsi="Calibri" w:cs="黑体"/>
      <w:kern w:val="2"/>
      <w:sz w:val="21"/>
      <w:szCs w:val="24"/>
    </w:rPr>
  </w:style>
  <w:style w:type="character" w:customStyle="1" w:styleId="17">
    <w:name w:val="批注主题 Char"/>
    <w:link w:val="7"/>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38576</Words>
  <Characters>41534</Characters>
  <Lines>272</Lines>
  <Paragraphs>76</Paragraphs>
  <TotalTime>0</TotalTime>
  <ScaleCrop>false</ScaleCrop>
  <LinksUpToDate>false</LinksUpToDate>
  <CharactersWithSpaces>42036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2025-08-20T09:05:45Z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