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b/>
          <w:bCs/>
          <w:highlight w:val="none"/>
        </w:rPr>
      </w:pPr>
    </w:p>
    <w:p>
      <w:pPr>
        <w:bidi w:val="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杭银理财幸福99</w:t>
      </w:r>
      <w:r>
        <w:rPr>
          <w:rFonts w:hint="eastAsia" w:ascii="宋体" w:hAnsi="宋体" w:cs="宋体"/>
          <w:b/>
          <w:bCs/>
          <w:sz w:val="44"/>
          <w:szCs w:val="44"/>
          <w:highlight w:val="none"/>
          <w:lang w:eastAsia="zh-CN"/>
        </w:rPr>
        <w:t>半年添益1901期理财</w:t>
      </w:r>
      <w:r>
        <w:rPr>
          <w:rFonts w:hint="eastAsia" w:ascii="宋体" w:hAnsi="宋体" w:eastAsia="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pStyle w:val="2"/>
        <w:bidi w:val="0"/>
        <w:rPr>
          <w:rFonts w:hint="eastAsia" w:ascii="宋体" w:hAnsi="宋体" w:eastAsia="宋体" w:cs="宋体"/>
          <w:highlight w:val="none"/>
          <w:lang w:val="en-US" w:eastAsia="zh-CN"/>
        </w:rPr>
      </w:pPr>
      <w:r>
        <w:rPr>
          <w:rFonts w:hint="eastAsia" w:ascii="宋体" w:hAnsi="宋体" w:eastAsia="宋体" w:cs="宋体"/>
          <w:highlight w:val="none"/>
        </w:rPr>
        <w:t>杭银理财幸福99</w:t>
      </w:r>
      <w:r>
        <w:rPr>
          <w:rFonts w:hint="eastAsia" w:ascii="宋体" w:hAnsi="宋体" w:cs="宋体"/>
          <w:b/>
          <w:bCs/>
          <w:sz w:val="44"/>
          <w:szCs w:val="44"/>
          <w:highlight w:val="none"/>
          <w:lang w:eastAsia="zh-CN"/>
        </w:rPr>
        <w:t>半年添益1901期理财</w:t>
      </w:r>
      <w:r>
        <w:rPr>
          <w:rFonts w:hint="eastAsia" w:ascii="宋体" w:hAnsi="宋体" w:eastAsia="宋体" w:cs="宋体"/>
          <w:highlight w:val="none"/>
          <w:lang w:val="en-US" w:eastAsia="zh-CN"/>
        </w:rPr>
        <w:t>合同文件</w:t>
      </w:r>
    </w:p>
    <w:p>
      <w:pPr>
        <w:jc w:val="both"/>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tbl>
      <w:tblPr>
        <w:tblStyle w:val="12"/>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5"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5160"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理财计划合同文件中的文件名称</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杭银理财幸福99半年添益1901期理财风险揭示书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杭银理财幸福99半年添益1901期理财产品说明书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杭银理财投资者权益须知</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杭银理财理财计划投资协议书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杭银理财理财计划销售协议书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理财计划销售协议书</w:t>
            </w:r>
          </w:p>
        </w:tc>
      </w:tr>
    </w:tbl>
    <w:p>
      <w:pPr>
        <w:jc w:val="center"/>
        <w:rPr>
          <w:rFonts w:hint="eastAsia" w:ascii="宋体" w:hAnsi="宋体" w:cs="宋体"/>
          <w:sz w:val="44"/>
          <w:szCs w:val="44"/>
          <w:highlight w:val="none"/>
          <w:lang w:val="en-US" w:eastAsia="zh-CN"/>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both"/>
        <w:rPr>
          <w:rFonts w:hint="eastAsia" w:ascii="宋体" w:hAnsi="宋体" w:cs="宋体"/>
          <w:sz w:val="32"/>
          <w:szCs w:val="32"/>
          <w:highlight w:val="none"/>
        </w:rPr>
      </w:pPr>
    </w:p>
    <w:p>
      <w:pPr>
        <w:jc w:val="both"/>
        <w:rPr>
          <w:rFonts w:hint="eastAsia" w:ascii="宋体" w:hAnsi="宋体" w:cs="宋体"/>
          <w:sz w:val="32"/>
          <w:szCs w:val="32"/>
          <w:highlight w:val="none"/>
        </w:rPr>
      </w:pPr>
    </w:p>
    <w:p>
      <w:pPr>
        <w:pStyle w:val="2"/>
        <w:bidi w:val="0"/>
        <w:rPr>
          <w:rFonts w:hint="eastAsia"/>
          <w:highlight w:val="none"/>
        </w:rPr>
      </w:pPr>
      <w:r>
        <w:rPr>
          <w:rFonts w:hint="eastAsia" w:ascii="宋体" w:hAnsi="宋体" w:eastAsia="宋体" w:cs="宋体"/>
          <w:b/>
          <w:highlight w:val="none"/>
        </w:rPr>
        <w:t>杭银理财幸福99</w:t>
      </w:r>
      <w:r>
        <w:rPr>
          <w:rFonts w:hint="eastAsia" w:ascii="宋体" w:hAnsi="宋体" w:cs="宋体"/>
          <w:b/>
          <w:highlight w:val="none"/>
          <w:lang w:eastAsia="zh-CN"/>
        </w:rPr>
        <w:t>半年添益1901期理财</w:t>
      </w:r>
      <w:r>
        <w:rPr>
          <w:rFonts w:hint="eastAsia" w:ascii="宋体" w:hAnsi="宋体" w:eastAsia="宋体" w:cs="宋体"/>
          <w:b/>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pStyle w:val="3"/>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highlight w:val="none"/>
        </w:rPr>
      </w:pPr>
      <w:r>
        <w:rPr>
          <w:rFonts w:hint="eastAsia"/>
          <w:highlight w:val="none"/>
        </w:rPr>
        <w:t>理财计划共性风险</w:t>
      </w:r>
    </w:p>
    <w:p>
      <w:pPr>
        <w:pStyle w:val="4"/>
        <w:numPr>
          <w:ilvl w:val="0"/>
          <w:numId w:val="2"/>
        </w:numPr>
        <w:bidi w:val="0"/>
        <w:ind w:firstLine="482" w:firstLineChars="200"/>
        <w:rPr>
          <w:highlight w:val="none"/>
        </w:rPr>
      </w:pPr>
      <w:r>
        <w:rPr>
          <w:rStyle w:val="21"/>
          <w:rFonts w:hint="eastAsia"/>
          <w:b/>
          <w:highlight w:val="none"/>
        </w:rPr>
        <w:t>信用风险：</w:t>
      </w:r>
      <w:r>
        <w:rPr>
          <w:rFonts w:hint="eastAsia"/>
          <w:highlight w:val="none"/>
        </w:rPr>
        <w:t>理财计划所投资产的相关义务人信用状况恶化，出现信用违约情形，则理财计划本金或收益蒙受部分或全部损失的风险。</w:t>
      </w:r>
    </w:p>
    <w:p>
      <w:pPr>
        <w:pStyle w:val="4"/>
        <w:numPr>
          <w:ilvl w:val="0"/>
          <w:numId w:val="2"/>
        </w:numPr>
        <w:bidi w:val="0"/>
        <w:ind w:firstLine="482" w:firstLineChars="200"/>
        <w:rPr>
          <w:rFonts w:hint="eastAsia"/>
          <w:highlight w:val="none"/>
        </w:rPr>
      </w:pPr>
      <w:r>
        <w:rPr>
          <w:rFonts w:hint="eastAsia"/>
          <w:b/>
          <w:highlight w:val="none"/>
        </w:rPr>
        <w:t>市场风险：</w:t>
      </w:r>
      <w:r>
        <w:rPr>
          <w:rFonts w:hint="eastAsia"/>
          <w:highlight w:val="none"/>
        </w:rPr>
        <w:t>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pStyle w:val="4"/>
        <w:numPr>
          <w:ilvl w:val="0"/>
          <w:numId w:val="4"/>
        </w:numPr>
        <w:bidi w:val="0"/>
        <w:ind w:firstLine="482" w:firstLineChars="200"/>
        <w:rPr>
          <w:highlight w:val="none"/>
        </w:rPr>
      </w:pPr>
      <w:r>
        <w:rPr>
          <w:rFonts w:hint="eastAsia"/>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bidi w:val="0"/>
        <w:ind w:firstLine="482" w:firstLineChars="200"/>
        <w:rPr>
          <w:highlight w:val="none"/>
        </w:rPr>
      </w:pPr>
      <w:r>
        <w:rPr>
          <w:rFonts w:hint="eastAsia"/>
          <w:highlight w:val="none"/>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操作风险：理财计划由于内部作业、人员管理、系统操作、交易对手交易处理不当或失误等，导致理财计划本金或收益蒙受部分或全部损失的风险。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bidi w:val="0"/>
        <w:ind w:firstLine="482" w:firstLineChars="200"/>
        <w:rPr>
          <w:highlight w:val="none"/>
        </w:rPr>
      </w:pPr>
      <w:r>
        <w:rPr>
          <w:rFonts w:hint="eastAsia"/>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bidi w:val="0"/>
        <w:ind w:firstLine="482" w:firstLineChars="200"/>
        <w:rPr>
          <w:highlight w:val="none"/>
        </w:rPr>
      </w:pPr>
      <w:r>
        <w:rPr>
          <w:rFonts w:hint="eastAsia"/>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ind w:firstLine="482" w:firstLineChars="200"/>
        <w:jc w:val="left"/>
        <w:outlineLvl w:val="2"/>
        <w:rPr>
          <w:rFonts w:hint="eastAsia" w:ascii="Calibri" w:hAnsi="Calibri" w:eastAsia="宋体" w:cs="黑体"/>
          <w:b/>
          <w:kern w:val="2"/>
          <w:sz w:val="24"/>
          <w:szCs w:val="24"/>
          <w:highlight w:val="none"/>
          <w:lang w:val="en-US" w:eastAsia="zh-CN" w:bidi="ar-SA"/>
        </w:rPr>
      </w:pPr>
      <w:r>
        <w:rPr>
          <w:rStyle w:val="22"/>
          <w:rFonts w:hint="eastAsia"/>
          <w:highlight w:val="none"/>
          <w:lang w:val="en-US" w:eastAsia="zh-CN"/>
        </w:rPr>
        <w:t>信息传递风险：</w:t>
      </w:r>
      <w:r>
        <w:rPr>
          <w:rFonts w:hint="eastAsia"/>
          <w:b/>
          <w:bCs/>
          <w:highlight w:val="none"/>
          <w:lang w:val="en-US" w:eastAsia="zh-CN"/>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bidi w:val="0"/>
        <w:rPr>
          <w:highlight w:val="none"/>
        </w:rPr>
      </w:pPr>
      <w:r>
        <w:rPr>
          <w:rFonts w:hint="eastAsia"/>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highlight w:val="none"/>
          <w:lang w:eastAsia="zh-CN"/>
        </w:rPr>
        <w:t>理</w:t>
      </w:r>
      <w:r>
        <w:rPr>
          <w:rFonts w:hint="eastAsia"/>
          <w:highlight w:val="none"/>
        </w:rPr>
        <w:t>财计划本金或收益蒙受部分或全部损失的风险。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w:t>
      </w:r>
      <w:r>
        <w:rPr>
          <w:rFonts w:hint="eastAsia" w:ascii="宋体" w:hAnsi="宋体" w:cs="宋体"/>
          <w:b/>
          <w:sz w:val="24"/>
          <w:highlight w:val="none"/>
          <w:lang w:val="en-US" w:eastAsia="zh-CN"/>
        </w:rPr>
        <w:t>/申</w:t>
      </w:r>
      <w:r>
        <w:rPr>
          <w:rFonts w:hint="eastAsia" w:ascii="宋体" w:hAnsi="宋体" w:cs="宋体"/>
          <w:b/>
          <w:sz w:val="24"/>
          <w:highlight w:val="none"/>
        </w:rPr>
        <w:t>购理财计划的资金由销售机构从投资者资金账户扣收；理财计划到期</w:t>
      </w:r>
      <w:r>
        <w:rPr>
          <w:rFonts w:hint="eastAsia" w:ascii="宋体" w:hAnsi="宋体" w:cs="宋体"/>
          <w:b/>
          <w:sz w:val="24"/>
          <w:highlight w:val="none"/>
          <w:lang w:val="en-US" w:eastAsia="zh-CN"/>
        </w:rPr>
        <w:t>/赎回</w:t>
      </w:r>
      <w:r>
        <w:rPr>
          <w:rFonts w:hint="eastAsia" w:ascii="宋体" w:hAnsi="宋体" w:cs="宋体"/>
          <w:b/>
          <w:sz w:val="24"/>
          <w:highlight w:val="none"/>
        </w:rPr>
        <w:t>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sz w:val="24"/>
          <w:highlight w:val="none"/>
        </w:rPr>
      </w:pPr>
      <w:r>
        <w:rPr>
          <w:rFonts w:ascii="宋体" w:hAnsi="宋体" w:cs="宋体"/>
          <w:b/>
          <w:sz w:val="24"/>
          <w:highlight w:val="none"/>
        </w:rPr>
        <w:t>关联关系风险：本理财</w:t>
      </w:r>
      <w:r>
        <w:rPr>
          <w:rFonts w:hint="eastAsia" w:ascii="宋体" w:hAnsi="宋体" w:cs="宋体"/>
          <w:b/>
          <w:sz w:val="24"/>
          <w:highlight w:val="none"/>
          <w:lang w:eastAsia="zh-CN"/>
        </w:rPr>
        <w:t>计划</w:t>
      </w:r>
      <w:r>
        <w:rPr>
          <w:rFonts w:ascii="宋体" w:hAnsi="宋体" w:cs="宋体"/>
          <w:b/>
          <w:sz w:val="24"/>
          <w:highlight w:val="none"/>
        </w:rPr>
        <w:t>销售机构</w:t>
      </w:r>
      <w:r>
        <w:rPr>
          <w:rFonts w:hint="eastAsia" w:ascii="宋体" w:hAnsi="宋体" w:cs="宋体"/>
          <w:b/>
          <w:sz w:val="24"/>
          <w:highlight w:val="none"/>
          <w:lang w:eastAsia="zh-CN"/>
        </w:rPr>
        <w:t>之一</w:t>
      </w:r>
      <w:r>
        <w:rPr>
          <w:rFonts w:ascii="宋体" w:hAnsi="宋体" w:cs="宋体"/>
          <w:b/>
          <w:sz w:val="24"/>
          <w:highlight w:val="none"/>
        </w:rPr>
        <w:t>为杭州银行股份有限公司，杭银理财系杭州银行全资子公司，双方存在关联关系。杭州银行作为本理财</w:t>
      </w:r>
      <w:r>
        <w:rPr>
          <w:rFonts w:hint="eastAsia" w:ascii="宋体" w:hAnsi="宋体" w:cs="宋体"/>
          <w:b/>
          <w:sz w:val="24"/>
          <w:highlight w:val="none"/>
          <w:lang w:eastAsia="zh-CN"/>
        </w:rPr>
        <w:t>计划</w:t>
      </w:r>
      <w:r>
        <w:rPr>
          <w:rFonts w:ascii="宋体" w:hAnsi="宋体" w:cs="宋体"/>
          <w:b/>
          <w:sz w:val="24"/>
          <w:highlight w:val="none"/>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sz w:val="24"/>
          <w:highlight w:val="none"/>
          <w:lang w:eastAsia="zh-CN"/>
        </w:rPr>
        <w:t>理财计划</w:t>
      </w:r>
      <w:r>
        <w:rPr>
          <w:rFonts w:ascii="宋体" w:hAnsi="宋体" w:cs="宋体"/>
          <w:b/>
          <w:sz w:val="24"/>
          <w:highlight w:val="none"/>
        </w:rPr>
        <w:t>收益，不承担</w:t>
      </w:r>
      <w:r>
        <w:rPr>
          <w:rFonts w:hint="eastAsia" w:ascii="宋体" w:hAnsi="宋体" w:cs="宋体"/>
          <w:b/>
          <w:sz w:val="24"/>
          <w:highlight w:val="none"/>
          <w:lang w:eastAsia="zh-CN"/>
        </w:rPr>
        <w:t>理财计划</w:t>
      </w:r>
      <w:r>
        <w:rPr>
          <w:rFonts w:ascii="宋体" w:hAnsi="宋体" w:cs="宋体"/>
          <w:b/>
          <w:sz w:val="24"/>
          <w:highlight w:val="none"/>
        </w:rPr>
        <w:t>的投资、兑付和风险管理责任。</w:t>
      </w: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资金流动性风险：本理财</w:t>
      </w:r>
      <w:r>
        <w:rPr>
          <w:rFonts w:hint="eastAsia" w:ascii="宋体" w:hAnsi="宋体" w:cs="宋体"/>
          <w:b/>
          <w:sz w:val="24"/>
          <w:highlight w:val="none"/>
          <w:lang w:val="en-US" w:eastAsia="zh-CN"/>
        </w:rPr>
        <w:t>计划</w:t>
      </w:r>
      <w:r>
        <w:rPr>
          <w:rFonts w:hint="eastAsia" w:ascii="宋体" w:hAnsi="宋体" w:cs="宋体"/>
          <w:b/>
          <w:sz w:val="24"/>
          <w:highlight w:val="none"/>
        </w:rPr>
        <w:t>定期开放申购、赎回，非开放期内投资者不得提前交易。</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收益不达业绩比较基准风险：业绩比较基准并非预测收益，不代表产品的未来表现和实际收益；本理财</w:t>
      </w:r>
      <w:r>
        <w:rPr>
          <w:rFonts w:hint="eastAsia" w:ascii="宋体" w:hAnsi="宋体" w:cs="宋体"/>
          <w:b/>
          <w:sz w:val="24"/>
          <w:highlight w:val="none"/>
          <w:lang w:val="en-US" w:eastAsia="zh-CN"/>
        </w:rPr>
        <w:t>计划</w:t>
      </w:r>
      <w:r>
        <w:rPr>
          <w:rFonts w:hint="eastAsia" w:ascii="宋体" w:hAnsi="宋体" w:cs="宋体"/>
          <w:b/>
          <w:sz w:val="24"/>
          <w:highlight w:val="none"/>
        </w:rPr>
        <w:t>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本理财计划为公募、开放式、〖</w:t>
      </w:r>
      <w:r>
        <w:rPr>
          <w:rFonts w:hint="eastAsia" w:ascii="宋体" w:hAnsi="宋体" w:cs="宋体"/>
          <w:b/>
          <w:sz w:val="24"/>
          <w:highlight w:val="none"/>
          <w:lang w:val="en-US" w:eastAsia="zh-CN"/>
        </w:rPr>
        <w:t>固定收益</w:t>
      </w:r>
      <w:r>
        <w:rPr>
          <w:rFonts w:hint="eastAsia" w:ascii="宋体" w:hAnsi="宋体" w:cs="宋体"/>
          <w:b/>
          <w:sz w:val="24"/>
          <w:highlight w:val="none"/>
        </w:rPr>
        <w:t>类〗净值型理财计划，</w:t>
      </w:r>
      <w:r>
        <w:rPr>
          <w:rFonts w:hint="eastAsia" w:ascii="宋体" w:hAnsi="宋体" w:cs="宋体"/>
          <w:b/>
          <w:sz w:val="24"/>
          <w:highlight w:val="none"/>
        </w:rPr>
        <w:t>〖</w:t>
      </w:r>
      <w:r>
        <w:rPr>
          <w:rFonts w:hint="eastAsia" w:ascii="宋体" w:hAnsi="宋体" w:cs="宋体"/>
          <w:b/>
          <w:sz w:val="24"/>
          <w:highlight w:val="none"/>
          <w:lang w:eastAsia="zh-CN"/>
        </w:rPr>
        <w:t>无固定期限</w:t>
      </w:r>
      <w:r>
        <w:rPr>
          <w:rFonts w:hint="eastAsia" w:ascii="宋体" w:hAnsi="宋体" w:cs="宋体"/>
          <w:b/>
          <w:sz w:val="24"/>
          <w:highlight w:val="none"/>
        </w:rPr>
        <w:t>〗，</w:t>
      </w:r>
      <w:r>
        <w:rPr>
          <w:rFonts w:hint="eastAsia" w:ascii="宋体" w:hAnsi="宋体" w:cs="宋体"/>
          <w:b/>
          <w:sz w:val="24"/>
          <w:highlight w:val="none"/>
        </w:rPr>
        <w:t>不保证本金与收益。根据本公司理财产品内部风险评级，该理财计划风险评级结果为〖R</w:t>
      </w:r>
      <w:r>
        <w:rPr>
          <w:rFonts w:hint="eastAsia" w:ascii="宋体" w:hAnsi="宋体" w:cs="宋体"/>
          <w:b/>
          <w:sz w:val="24"/>
          <w:highlight w:val="none"/>
          <w:lang w:val="en-US" w:eastAsia="zh-CN"/>
        </w:rPr>
        <w:t>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sz w:val="24"/>
          <w:highlight w:val="none"/>
          <w:lang w:val="en-US" w:eastAsia="zh-CN"/>
        </w:rPr>
        <w:t>个人投资者的风险承受能力评估以销售机构为准</w:t>
      </w:r>
      <w:r>
        <w:rPr>
          <w:rFonts w:hint="eastAsia" w:ascii="宋体" w:hAnsi="宋体" w:cs="宋体"/>
          <w:b/>
          <w:sz w:val="24"/>
          <w:highlight w:val="none"/>
        </w:rPr>
        <w:t>。</w:t>
      </w:r>
      <w:r>
        <w:rPr>
          <w:rFonts w:hint="eastAsia" w:ascii="宋体" w:hAnsi="宋体" w:cs="宋体"/>
          <w:bCs/>
          <w:sz w:val="24"/>
          <w:highlight w:val="none"/>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上述风险客观存在，敬请投资者予以充分关注！</w:t>
      </w:r>
    </w:p>
    <w:p>
      <w:pPr>
        <w:spacing w:line="360" w:lineRule="auto"/>
        <w:ind w:firstLine="480" w:firstLineChars="200"/>
        <w:jc w:val="righ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spacing w:line="360" w:lineRule="auto"/>
        <w:jc w:val="both"/>
        <w:rPr>
          <w:rFonts w:hint="eastAsia" w:ascii="宋体" w:hAnsi="宋体" w:cs="宋体"/>
          <w:bCs/>
          <w:sz w:val="24"/>
          <w:highlight w:val="none"/>
        </w:rPr>
      </w:pPr>
    </w:p>
    <w:p>
      <w:pPr>
        <w:pStyle w:val="17"/>
        <w:spacing w:line="360" w:lineRule="auto"/>
        <w:jc w:val="both"/>
        <w:rPr>
          <w:rFonts w:hint="eastAsia" w:ascii="宋体" w:hAnsi="宋体" w:cs="宋体"/>
          <w:b/>
          <w:color w:val="auto"/>
          <w:highlight w:val="none"/>
        </w:rPr>
      </w:pPr>
    </w:p>
    <w:p>
      <w:pPr>
        <w:pStyle w:val="17"/>
        <w:spacing w:line="360" w:lineRule="auto"/>
        <w:ind w:firstLine="482" w:firstLineChars="200"/>
        <w:jc w:val="center"/>
        <w:outlineLvl w:val="1"/>
        <w:rPr>
          <w:rFonts w:hint="eastAsia" w:ascii="宋体" w:hAnsi="宋体" w:cs="宋体"/>
          <w:b/>
          <w:color w:val="auto"/>
          <w:highlight w:val="none"/>
        </w:rPr>
      </w:pPr>
    </w:p>
    <w:p>
      <w:pPr>
        <w:pStyle w:val="17"/>
        <w:spacing w:line="360" w:lineRule="auto"/>
        <w:ind w:firstLine="482" w:firstLineChars="200"/>
        <w:jc w:val="center"/>
        <w:outlineLvl w:val="1"/>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w:t>
      </w:r>
      <w:r>
        <w:rPr>
          <w:rFonts w:hint="eastAsia" w:ascii="宋体" w:hAnsi="宋体" w:cs="宋体"/>
          <w:b w:val="0"/>
          <w:bCs w:val="0"/>
          <w:color w:val="auto"/>
          <w:highlight w:val="none"/>
          <w:u w:val="single"/>
        </w:rPr>
        <w:t>风险</w:t>
      </w:r>
      <w:r>
        <w:rPr>
          <w:rFonts w:hint="eastAsia" w:ascii="宋体" w:hAnsi="宋体" w:cs="宋体"/>
          <w:color w:val="auto"/>
          <w:highlight w:val="none"/>
          <w:u w:val="single"/>
        </w:rPr>
        <w:t>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outlineLvl w:val="1"/>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pStyle w:val="17"/>
        <w:spacing w:line="360" w:lineRule="auto"/>
        <w:ind w:firstLine="482" w:firstLineChars="200"/>
        <w:jc w:val="both"/>
        <w:rPr>
          <w:rFonts w:hint="eastAsia" w:ascii="宋体" w:hAnsi="宋体" w:eastAsia="宋体" w:cs="宋体"/>
          <w:b/>
          <w:bCs/>
          <w:color w:val="auto"/>
          <w:highlight w:val="none"/>
          <w:u w:val="none"/>
          <w:lang w:val="en-US" w:eastAsia="zh-CN"/>
        </w:rPr>
      </w:pP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rPr>
        <w:t>杭银理财幸福99</w:t>
      </w:r>
      <w:r>
        <w:rPr>
          <w:rFonts w:hint="eastAsia" w:ascii="宋体" w:hAnsi="宋体" w:cs="宋体"/>
          <w:b/>
          <w:bCs/>
          <w:sz w:val="44"/>
          <w:szCs w:val="44"/>
          <w:highlight w:val="none"/>
          <w:lang w:eastAsia="zh-CN"/>
        </w:rPr>
        <w:t>半年添益1901期理财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Wingdings" w:cs="宋体"/>
          <w:color w:val="000000"/>
          <w:kern w:val="0"/>
        </w:rPr>
        <w:t>Z700222100016</w:t>
      </w:r>
      <w:r>
        <w:rPr>
          <w:rFonts w:hint="eastAsia" w:ascii="宋体" w:hAnsi="Wingdings" w:cs="宋体"/>
          <w:color w:val="000000"/>
          <w:kern w:val="0"/>
          <w:lang w:val="en-US" w:eastAsia="zh-CN"/>
        </w:rPr>
        <w:t>8</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rPr>
        <w:t>《</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w:t>
      </w:r>
      <w:r>
        <w:rPr>
          <w:rFonts w:hint="eastAsia" w:ascii="宋体" w:hAnsi="宋体" w:cs="宋体"/>
          <w:bCs/>
          <w:sz w:val="24"/>
          <w:highlight w:val="none"/>
        </w:rPr>
        <w:t>《理财计划投资协议书》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rPr>
        <w:t>。</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rPr>
        <w:t>，客服热线为95398。</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cs="宋体"/>
          <w:bCs/>
          <w:color w:val="auto"/>
          <w:kern w:val="2"/>
          <w:highlight w:val="none"/>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w:t>
      </w:r>
      <w:r>
        <w:rPr>
          <w:rFonts w:hint="eastAsia" w:ascii="宋体" w:hAnsi="宋体" w:cs="宋体"/>
          <w:bCs/>
          <w:sz w:val="24"/>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半年添益1901期理财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半年添益1901期理财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半年添益1901期理财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半年添益1901期理财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理财计划销售协议书：</w:t>
      </w:r>
      <w:r>
        <w:rPr>
          <w:rFonts w:hint="eastAsia" w:ascii="宋体" w:hAnsi="宋体" w:cs="宋体"/>
          <w:bCs/>
          <w:color w:val="auto"/>
          <w:kern w:val="2"/>
          <w:highlight w:val="none"/>
          <w:lang w:eastAsia="zh-CN"/>
        </w:rPr>
        <w:t>指作为杭银理财幸福</w:t>
      </w:r>
      <w:r>
        <w:rPr>
          <w:rFonts w:hint="eastAsia" w:ascii="宋体" w:hAnsi="宋体" w:cs="宋体"/>
          <w:bCs/>
          <w:color w:val="auto"/>
          <w:kern w:val="2"/>
          <w:highlight w:val="none"/>
          <w:lang w:val="en-US" w:eastAsia="zh-CN"/>
        </w:rPr>
        <w:t>99</w:t>
      </w:r>
      <w:r>
        <w:rPr>
          <w:rFonts w:hint="eastAsia" w:ascii="宋体" w:hAnsi="宋体" w:cs="宋体"/>
          <w:bCs/>
          <w:highlight w:val="none"/>
          <w:lang w:eastAsia="zh-CN"/>
        </w:rPr>
        <w:t>半年添益1901期理财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w:t>
      </w:r>
      <w:r>
        <w:rPr>
          <w:rFonts w:hint="eastAsia" w:ascii="宋体" w:hAnsi="宋体" w:cs="宋体"/>
          <w:bCs/>
          <w:color w:val="auto"/>
          <w:kern w:val="2"/>
          <w:highlight w:val="none"/>
        </w:rPr>
        <w:t>《理财计划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理财计划产品说明书</w:t>
      </w:r>
      <w:r>
        <w:rPr>
          <w:rFonts w:hint="eastAsia" w:ascii="宋体" w:hAnsi="宋体" w:cs="宋体"/>
          <w:bCs/>
          <w:color w:val="auto"/>
          <w:kern w:val="2"/>
          <w:highlight w:val="none"/>
        </w:rPr>
        <w:t>》《投资者权益须知》《理财计划投资协议书》</w:t>
      </w:r>
      <w:r>
        <w:rPr>
          <w:rFonts w:hint="eastAsia" w:ascii="宋体" w:hAnsi="宋体" w:cs="宋体"/>
          <w:bCs/>
          <w:color w:val="auto"/>
          <w:kern w:val="2"/>
          <w:highlight w:val="none"/>
          <w:lang w:eastAsia="zh-CN"/>
        </w:rPr>
        <w:t>《理财计划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半年添益1901期理财</w:t>
      </w:r>
      <w:r>
        <w:rPr>
          <w:rFonts w:hint="eastAsia" w:ascii="宋体" w:hAnsi="宋体" w:cs="宋体"/>
          <w:bCs/>
          <w:highlight w:val="none"/>
        </w:rPr>
        <w:t>。</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0"/>
        </w:numPr>
        <w:adjustRightInd/>
        <w:spacing w:line="360" w:lineRule="auto"/>
        <w:rPr>
          <w:rFonts w:hint="eastAsia" w:ascii="宋体" w:hAnsi="宋体" w:cs="宋体"/>
          <w:b/>
          <w:color w:val="auto"/>
          <w:kern w:val="2"/>
          <w:highlight w:val="none"/>
        </w:rPr>
      </w:pPr>
    </w:p>
    <w:p>
      <w:pPr>
        <w:pStyle w:val="17"/>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本理财计划的风险等级为〖R</w:t>
      </w:r>
      <w:r>
        <w:rPr>
          <w:rFonts w:hint="eastAsia" w:ascii="宋体" w:hAnsi="宋体" w:cs="宋体"/>
          <w:b/>
          <w:color w:val="auto"/>
          <w:kern w:val="2"/>
          <w:highlight w:val="none"/>
          <w:lang w:val="en-US" w:eastAsia="zh-CN"/>
        </w:rPr>
        <w:t>2</w:t>
      </w:r>
      <w:r>
        <w:rPr>
          <w:rFonts w:hint="eastAsia" w:ascii="宋体" w:hAnsi="宋体" w:cs="宋体"/>
          <w:b/>
          <w:color w:val="auto"/>
          <w:kern w:val="2"/>
          <w:highlight w:val="none"/>
        </w:rPr>
        <w:t>〗，〖</w:t>
      </w:r>
      <w:r>
        <w:rPr>
          <w:rFonts w:hint="eastAsia" w:ascii="宋体" w:hAnsi="宋体" w:cs="宋体"/>
          <w:b/>
          <w:color w:val="auto"/>
          <w:kern w:val="2"/>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R2</w:t>
            </w:r>
          </w:p>
        </w:tc>
        <w:tc>
          <w:tcPr>
            <w:tcW w:w="1382" w:type="dxa"/>
            <w:noWrap w:val="0"/>
            <w:vAlign w:val="top"/>
          </w:tcPr>
          <w:p>
            <w:pPr>
              <w:pStyle w:val="17"/>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中低</w:t>
            </w:r>
          </w:p>
        </w:tc>
        <w:tc>
          <w:tcPr>
            <w:tcW w:w="4755" w:type="dxa"/>
            <w:noWrap w:val="0"/>
            <w:vAlign w:val="top"/>
          </w:tcPr>
          <w:p>
            <w:pPr>
              <w:pStyle w:val="17"/>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稳健型</w:t>
            </w:r>
            <w:r>
              <w:rPr>
                <w:rFonts w:hint="eastAsia" w:ascii="宋体" w:hAnsi="宋体" w:cs="宋体"/>
                <w:b/>
                <w:bCs w:val="0"/>
                <w:color w:val="auto"/>
                <w:kern w:val="2"/>
                <w:highlight w:val="none"/>
                <w:lang w:eastAsia="zh-CN"/>
              </w:rPr>
              <w:t>、</w:t>
            </w:r>
            <w:r>
              <w:rPr>
                <w:rFonts w:hint="eastAsia" w:ascii="宋体" w:hAnsi="宋体" w:cs="宋体"/>
                <w:b/>
                <w:bCs w:val="0"/>
                <w:color w:val="auto"/>
                <w:kern w:val="2"/>
                <w:highlight w:val="none"/>
              </w:rPr>
              <w:t>平衡型</w:t>
            </w:r>
            <w:r>
              <w:rPr>
                <w:rFonts w:hint="eastAsia" w:ascii="宋体" w:hAnsi="宋体" w:cs="宋体"/>
                <w:b/>
                <w:bCs w:val="0"/>
                <w:color w:val="auto"/>
                <w:kern w:val="2"/>
                <w:highlight w:val="none"/>
                <w:lang w:eastAsia="zh-CN"/>
              </w:rPr>
              <w:t>、成长</w:t>
            </w:r>
            <w:r>
              <w:rPr>
                <w:rFonts w:hint="eastAsia" w:ascii="宋体" w:hAnsi="宋体" w:cs="宋体"/>
                <w:b/>
                <w:bCs w:val="0"/>
                <w:color w:val="auto"/>
                <w:kern w:val="2"/>
                <w:highlight w:val="none"/>
              </w:rPr>
              <w:t>型</w:t>
            </w:r>
            <w:r>
              <w:rPr>
                <w:rFonts w:hint="eastAsia" w:ascii="宋体" w:hAnsi="宋体" w:cs="宋体"/>
                <w:b/>
                <w:bCs w:val="0"/>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
          <w:color w:val="auto"/>
          <w:kern w:val="2"/>
          <w:highlight w:val="none"/>
        </w:rPr>
      </w:pPr>
    </w:p>
    <w:p>
      <w:pPr>
        <w:pStyle w:val="17"/>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杭银理财幸福99</w:t>
            </w:r>
            <w:r>
              <w:rPr>
                <w:rFonts w:hint="eastAsia" w:ascii="宋体" w:hAnsi="宋体" w:cs="宋体"/>
                <w:bCs/>
                <w:sz w:val="21"/>
                <w:szCs w:val="21"/>
                <w:highlight w:val="none"/>
                <w:lang w:eastAsia="zh-CN"/>
              </w:rPr>
              <w:t>半年添益1901期</w:t>
            </w:r>
            <w:r>
              <w:rPr>
                <w:rFonts w:hint="eastAsia" w:ascii="宋体" w:hAnsi="宋体" w:cs="宋体"/>
                <w:sz w:val="21"/>
                <w:szCs w:val="21"/>
                <w:highlight w:val="none"/>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widowControl/>
              <w:spacing w:line="360" w:lineRule="auto"/>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半年添益1901期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TYG6M1901</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本理财计划在全国银行业理财信息登记系统的原登记编码是〖C1092019000058〗</w:t>
            </w:r>
            <w:r>
              <w:rPr>
                <w:rFonts w:hint="eastAsia" w:ascii="宋体" w:hAnsi="宋体" w:cs="宋体"/>
                <w:color w:val="000000"/>
                <w:kern w:val="0"/>
                <w:highlight w:val="none"/>
              </w:rPr>
              <w:t>，</w:t>
            </w:r>
            <w:r>
              <w:rPr>
                <w:rFonts w:hint="eastAsia" w:ascii="宋体" w:hAnsi="宋体" w:cs="宋体"/>
                <w:color w:val="000000"/>
                <w:sz w:val="21"/>
                <w:szCs w:val="21"/>
                <w:highlight w:val="none"/>
              </w:rPr>
              <w:t>变更登记后为〖Z700222100016</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widowControl/>
              <w:spacing w:line="360" w:lineRule="auto"/>
              <w:contextualSpacing/>
              <w:rPr>
                <w:rFonts w:hint="eastAsia" w:ascii="宋体" w:hAnsi="宋体" w:cs="宋体"/>
                <w:bCs/>
                <w:color w:val="auto"/>
                <w:kern w:val="2"/>
                <w:sz w:val="21"/>
                <w:szCs w:val="21"/>
                <w:highlight w:val="none"/>
                <w:lang w:eastAsia="zh-CN"/>
              </w:rPr>
            </w:pPr>
            <w:r>
              <w:rPr>
                <w:rFonts w:hint="eastAsia" w:ascii="宋体" w:hAnsi="宋体" w:cs="宋体"/>
                <w:color w:val="000000"/>
                <w:sz w:val="21"/>
                <w:szCs w:val="21"/>
                <w:highlight w:val="none"/>
              </w:rPr>
              <w:t>本理财计划适合</w:t>
            </w:r>
            <w:r>
              <w:rPr>
                <w:rFonts w:hint="eastAsia" w:ascii="宋体" w:hAnsi="宋体" w:cs="宋体"/>
                <w:b/>
                <w:sz w:val="21"/>
                <w:szCs w:val="21"/>
                <w:highlight w:val="none"/>
              </w:rPr>
              <w:t>〖</w:t>
            </w:r>
            <w:r>
              <w:rPr>
                <w:rFonts w:hint="eastAsia" w:ascii="宋体" w:hAnsi="宋体" w:cs="宋体"/>
                <w:b/>
                <w:color w:val="000000"/>
                <w:sz w:val="21"/>
                <w:szCs w:val="21"/>
                <w:highlight w:val="none"/>
              </w:rPr>
              <w:t>机构投资者</w:t>
            </w:r>
            <w:r>
              <w:rPr>
                <w:rFonts w:hint="eastAsia" w:ascii="宋体" w:hAnsi="宋体" w:cs="宋体"/>
                <w:b/>
                <w:sz w:val="21"/>
                <w:szCs w:val="21"/>
                <w:highlight w:val="none"/>
              </w:rPr>
              <w:t>〗</w:t>
            </w:r>
            <w:r>
              <w:rPr>
                <w:rFonts w:hint="eastAsia" w:ascii="宋体" w:hAnsi="宋体" w:cs="宋体"/>
                <w:b/>
                <w:color w:val="000000"/>
                <w:sz w:val="21"/>
                <w:szCs w:val="21"/>
                <w:highlight w:val="none"/>
              </w:rPr>
              <w:t>以及</w:t>
            </w:r>
            <w:r>
              <w:rPr>
                <w:rFonts w:hint="eastAsia" w:ascii="宋体" w:hAnsi="宋体" w:cs="宋体"/>
                <w:b/>
                <w:sz w:val="21"/>
                <w:szCs w:val="21"/>
                <w:highlight w:val="none"/>
              </w:rPr>
              <w:t>〖稳健型、平衡型、成长型、进取型〗</w:t>
            </w:r>
            <w:r>
              <w:rPr>
                <w:rFonts w:hint="eastAsia" w:ascii="宋体" w:hAnsi="宋体" w:cs="宋体"/>
                <w:b/>
                <w:color w:val="000000"/>
                <w:sz w:val="21"/>
                <w:szCs w:val="21"/>
                <w:highlight w:val="none"/>
              </w:rPr>
              <w:t>的个人投资者。</w:t>
            </w:r>
            <w:r>
              <w:rPr>
                <w:rFonts w:hint="eastAsia" w:ascii="宋体" w:hAnsi="宋体" w:cs="宋体"/>
                <w:bCs/>
                <w:color w:val="auto"/>
                <w:kern w:val="2"/>
                <w:sz w:val="21"/>
                <w:szCs w:val="21"/>
                <w:highlight w:val="none"/>
                <w:lang w:eastAsia="zh-CN"/>
              </w:rPr>
              <w:t>投资者风险承受能力评级水平以销售机构评估为准。</w:t>
            </w:r>
          </w:p>
          <w:p>
            <w:pPr>
              <w:widowControl/>
              <w:spacing w:line="360" w:lineRule="auto"/>
              <w:contextualSpacing/>
              <w:rPr>
                <w:rFonts w:hint="eastAsia" w:ascii="宋体" w:hAnsi="宋体" w:cs="宋体"/>
                <w:color w:val="auto"/>
                <w:sz w:val="21"/>
                <w:szCs w:val="21"/>
                <w:highlight w:val="none"/>
                <w:lang w:eastAsia="zh-CN"/>
              </w:rPr>
            </w:pPr>
            <w:r>
              <w:rPr>
                <w:rFonts w:hint="eastAsia" w:ascii="宋体" w:hAnsi="宋体" w:cs="宋体"/>
                <w:b w:val="0"/>
                <w:bCs/>
                <w:color w:val="auto"/>
                <w:sz w:val="21"/>
                <w:szCs w:val="21"/>
                <w:highlight w:val="none"/>
                <w:lang w:val="en-US" w:eastAsia="zh-CN"/>
              </w:rPr>
              <w:t>A份额</w:t>
            </w:r>
            <w:r>
              <w:rPr>
                <w:rFonts w:hint="eastAsia" w:ascii="宋体" w:hAnsi="宋体" w:cs="宋体"/>
                <w:b w:val="0"/>
                <w:bCs/>
                <w:color w:val="auto"/>
                <w:sz w:val="21"/>
                <w:szCs w:val="21"/>
                <w:highlight w:val="none"/>
                <w:lang w:eastAsia="zh-CN"/>
              </w:rPr>
              <w:t>（销售代码〖</w:t>
            </w:r>
            <w:r>
              <w:rPr>
                <w:rFonts w:hint="eastAsia" w:ascii="宋体" w:hAnsi="宋体" w:cs="宋体"/>
                <w:color w:val="000000"/>
                <w:sz w:val="21"/>
                <w:szCs w:val="21"/>
                <w:highlight w:val="none"/>
                <w:lang w:val="en-US" w:eastAsia="zh-CN"/>
              </w:rPr>
              <w:t>TYG6M1901</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〖普通个人投资者和机构客户〗发售</w:t>
            </w:r>
            <w:r>
              <w:rPr>
                <w:rFonts w:hint="eastAsia" w:ascii="宋体" w:hAnsi="宋体" w:cs="宋体"/>
                <w:color w:val="auto"/>
                <w:sz w:val="21"/>
                <w:szCs w:val="21"/>
                <w:highlight w:val="none"/>
                <w:lang w:eastAsia="zh-CN"/>
              </w:rPr>
              <w:t>。</w:t>
            </w:r>
          </w:p>
          <w:p>
            <w:pPr>
              <w:widowControl/>
              <w:spacing w:line="360" w:lineRule="auto"/>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B份额</w:t>
            </w:r>
            <w:r>
              <w:rPr>
                <w:rFonts w:hint="eastAsia" w:ascii="宋体" w:hAnsi="宋体" w:cs="宋体"/>
                <w:b w:val="0"/>
                <w:bCs/>
                <w:color w:val="auto"/>
                <w:sz w:val="21"/>
                <w:szCs w:val="21"/>
                <w:highlight w:val="none"/>
                <w:lang w:eastAsia="zh-CN"/>
              </w:rPr>
              <w:t>（销售代码〖</w:t>
            </w:r>
            <w:r>
              <w:rPr>
                <w:rFonts w:hint="eastAsia" w:ascii="宋体" w:hAnsi="宋体" w:cs="宋体"/>
                <w:color w:val="000000"/>
                <w:sz w:val="21"/>
                <w:szCs w:val="21"/>
                <w:highlight w:val="none"/>
                <w:lang w:val="en-US" w:eastAsia="zh-CN"/>
              </w:rPr>
              <w:t>TYG6M1901</w:t>
            </w:r>
            <w:r>
              <w:rPr>
                <w:rFonts w:hint="eastAsia" w:ascii="宋体" w:hAnsi="宋体" w:cs="宋体"/>
                <w:b w:val="0"/>
                <w:bCs/>
                <w:color w:val="auto"/>
                <w:sz w:val="21"/>
                <w:szCs w:val="21"/>
                <w:highlight w:val="none"/>
                <w:lang w:val="en-US" w:eastAsia="zh-CN"/>
              </w:rPr>
              <w:t>B</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〖特定客群专属〗发售</w:t>
            </w:r>
            <w:r>
              <w:rPr>
                <w:rFonts w:hint="eastAsia" w:ascii="宋体" w:hAnsi="宋体" w:cs="宋体"/>
                <w:color w:val="auto"/>
                <w:sz w:val="21"/>
                <w:szCs w:val="21"/>
                <w:highlight w:val="none"/>
                <w:lang w:eastAsia="zh-CN"/>
              </w:rPr>
              <w:t>。</w:t>
            </w:r>
          </w:p>
          <w:p>
            <w:pPr>
              <w:widowControl/>
              <w:spacing w:line="360" w:lineRule="auto"/>
              <w:contextualSpacing/>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W份额</w:t>
            </w:r>
            <w:r>
              <w:rPr>
                <w:rFonts w:hint="eastAsia" w:ascii="宋体" w:hAnsi="宋体" w:cs="宋体"/>
                <w:b w:val="0"/>
                <w:bCs/>
                <w:color w:val="auto"/>
                <w:sz w:val="21"/>
                <w:szCs w:val="21"/>
                <w:highlight w:val="none"/>
                <w:lang w:eastAsia="zh-CN"/>
              </w:rPr>
              <w:t>（销售代码〖</w:t>
            </w:r>
            <w:r>
              <w:rPr>
                <w:rFonts w:hint="eastAsia" w:ascii="宋体" w:hAnsi="宋体" w:cs="宋体"/>
                <w:color w:val="000000"/>
                <w:sz w:val="21"/>
                <w:szCs w:val="21"/>
                <w:highlight w:val="none"/>
                <w:lang w:val="en-US" w:eastAsia="zh-CN"/>
              </w:rPr>
              <w:t>TYG6M1901W</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〖普通个人投资者和机构客户〗发售</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否</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w:t>
            </w:r>
            <w:r>
              <w:rPr>
                <w:rFonts w:hint="eastAsia" w:ascii="宋体" w:hAnsi="宋体" w:cs="宋体"/>
                <w:sz w:val="21"/>
                <w:szCs w:val="21"/>
                <w:highlight w:val="none"/>
              </w:rPr>
              <w:t>〖</w:t>
            </w:r>
            <w:r>
              <w:rPr>
                <w:rFonts w:hint="eastAsia" w:ascii="宋体" w:hAnsi="宋体" w:cs="宋体"/>
                <w:color w:val="000000"/>
                <w:sz w:val="21"/>
                <w:szCs w:val="21"/>
                <w:highlight w:val="none"/>
              </w:rPr>
              <w:t>营业网点、网上银行、手机银行</w:t>
            </w:r>
            <w:r>
              <w:rPr>
                <w:rFonts w:hint="eastAsia" w:ascii="宋体" w:hAnsi="宋体" w:cs="宋体"/>
                <w:sz w:val="21"/>
                <w:szCs w:val="21"/>
                <w:highlight w:val="none"/>
              </w:rPr>
              <w:t>〗</w:t>
            </w:r>
            <w:r>
              <w:rPr>
                <w:rFonts w:hint="eastAsia" w:ascii="宋体" w:hAnsi="宋体" w:cs="宋体"/>
                <w:color w:val="000000"/>
                <w:sz w:val="21"/>
                <w:szCs w:val="21"/>
                <w:highlight w:val="none"/>
              </w:rPr>
              <w:t>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2019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2019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17</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2019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18</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p>
          <w:p>
            <w:pPr>
              <w:widowControl/>
              <w:spacing w:line="360" w:lineRule="auto"/>
              <w:contextualSpacing/>
              <w:rPr>
                <w:rFonts w:hint="eastAsia" w:ascii="宋体" w:hAnsi="宋体" w:eastAsia="宋体" w:cs="宋体"/>
                <w:color w:val="000000"/>
                <w:kern w:val="0"/>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W</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kern w:val="0"/>
                <w:sz w:val="21"/>
                <w:szCs w:val="21"/>
                <w:highlight w:val="none"/>
                <w:lang w:val="en-US" w:eastAsia="zh-CN"/>
              </w:rPr>
            </w:pPr>
            <w:r>
              <w:rPr>
                <w:rFonts w:hint="eastAsia" w:ascii="宋体" w:hAnsi="宋体" w:cs="宋体"/>
                <w:color w:val="auto"/>
                <w:kern w:val="2"/>
                <w:sz w:val="21"/>
                <w:szCs w:val="21"/>
                <w:highlight w:val="none"/>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sz w:val="21"/>
                <w:szCs w:val="21"/>
                <w:highlight w:val="none"/>
                <w:lang w:val="en-US" w:eastAsia="zh-CN"/>
              </w:rPr>
              <w:t>2000</w:t>
            </w:r>
            <w:r>
              <w:rPr>
                <w:rFonts w:hint="eastAsia" w:ascii="宋体" w:hAnsi="宋体" w:cs="宋体"/>
                <w:sz w:val="21"/>
                <w:szCs w:val="21"/>
                <w:highlight w:val="none"/>
              </w:rPr>
              <w:t>〗</w:t>
            </w:r>
            <w:r>
              <w:rPr>
                <w:rFonts w:hint="eastAsia" w:ascii="宋体" w:hAnsi="宋体" w:cs="宋体"/>
                <w:color w:val="000000"/>
                <w:sz w:val="21"/>
                <w:szCs w:val="21"/>
                <w:highlight w:val="none"/>
              </w:rPr>
              <w:t>万元，则管理人可宣布本理财计划不成立并在原定理财计划成立日</w:t>
            </w:r>
            <w:r>
              <w:rPr>
                <w:rFonts w:hint="eastAsia" w:ascii="宋体" w:hAnsi="宋体" w:cs="宋体"/>
                <w:color w:val="000000"/>
                <w:sz w:val="21"/>
                <w:szCs w:val="21"/>
                <w:highlight w:val="none"/>
                <w:lang w:val="en-US" w:eastAsia="zh-CN"/>
              </w:rPr>
              <w:t>当日</w:t>
            </w:r>
            <w:r>
              <w:rPr>
                <w:rFonts w:hint="eastAsia" w:ascii="宋体" w:hAnsi="宋体" w:cs="宋体"/>
                <w:color w:val="000000"/>
                <w:sz w:val="21"/>
                <w:szCs w:val="21"/>
                <w:highlight w:val="none"/>
              </w:rPr>
              <w:t>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理财计划</w:t>
            </w:r>
            <w:r>
              <w:rPr>
                <w:rFonts w:hint="eastAsia" w:ascii="宋体" w:hAnsi="宋体" w:cs="宋体"/>
                <w:sz w:val="21"/>
                <w:szCs w:val="21"/>
                <w:highlight w:val="none"/>
                <w:lang w:val="en-US" w:eastAsia="zh-CN"/>
              </w:rPr>
              <w:t>〖每半年〗开放一次,具体开放期将以管理人公告为准。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w:t>
            </w:r>
            <w:r>
              <w:rPr>
                <w:rFonts w:hint="eastAsia" w:ascii="宋体" w:hAnsi="宋体" w:cs="宋体"/>
                <w:sz w:val="21"/>
                <w:szCs w:val="21"/>
                <w:highlight w:val="none"/>
              </w:rPr>
              <w:t>〖1〗个</w:t>
            </w:r>
            <w:r>
              <w:rPr>
                <w:rFonts w:hint="eastAsia" w:ascii="宋体" w:hAnsi="宋体" w:cs="宋体"/>
                <w:bCs/>
                <w:sz w:val="21"/>
                <w:szCs w:val="21"/>
                <w:highlight w:val="none"/>
              </w:rPr>
              <w:t>工作日进行确认。</w:t>
            </w:r>
            <w:r>
              <w:rPr>
                <w:rFonts w:hint="eastAsia" w:ascii="宋体" w:hAnsi="宋体" w:cs="宋体"/>
                <w:color w:val="000000"/>
                <w:sz w:val="21"/>
                <w:szCs w:val="21"/>
                <w:highlight w:val="none"/>
              </w:rPr>
              <w:t>确认日如遇非工作日，则顺延至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.工作时间为每个工作日上午〖9:00〗至下午〖17:00〗。确认日如遇非工作日，则顺延至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认购/开放期内提交的交易申请，在产品成立日/确认日前一日下午17:00之前可以撤单。</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widowControl/>
              <w:spacing w:line="360" w:lineRule="auto"/>
              <w:contextualSpacing/>
              <w:rPr>
                <w:rFonts w:hint="default" w:ascii="宋体" w:hAnsi="宋体" w:cs="宋体"/>
                <w:bCs/>
                <w:color w:val="auto"/>
                <w:sz w:val="21"/>
                <w:szCs w:val="21"/>
                <w:highlight w:val="none"/>
                <w:lang w:val="en-US" w:eastAsia="zh-CN"/>
              </w:rPr>
            </w:pPr>
            <w:r>
              <w:rPr>
                <w:rFonts w:hint="eastAsia" w:ascii="宋体" w:hAnsi="宋体" w:cs="宋体"/>
                <w:bCs/>
                <w:sz w:val="21"/>
                <w:szCs w:val="21"/>
              </w:rPr>
              <w:t>5.</w:t>
            </w:r>
            <w:r>
              <w:rPr>
                <w:rFonts w:hint="eastAsia" w:ascii="宋体" w:hAnsi="宋体" w:cs="宋体"/>
                <w:bCs/>
                <w:color w:val="auto"/>
                <w:kern w:val="2"/>
                <w:sz w:val="21"/>
                <w:szCs w:val="21"/>
              </w:rPr>
              <w:t>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val="en-US" w:eastAsia="zh-CN"/>
              </w:rPr>
            </w:pPr>
            <w:r>
              <w:rPr>
                <w:rFonts w:hint="eastAsia" w:ascii="宋体" w:hAnsi="宋体" w:cs="宋体"/>
                <w:sz w:val="21"/>
                <w:szCs w:val="21"/>
                <w:highlight w:val="none"/>
              </w:rPr>
              <w:t>单户最高存续份额为〖</w:t>
            </w:r>
            <w:r>
              <w:rPr>
                <w:rFonts w:hint="eastAsia" w:ascii="宋体" w:hAnsi="宋体" w:cs="宋体"/>
                <w:sz w:val="21"/>
                <w:szCs w:val="21"/>
                <w:highlight w:val="none"/>
                <w:lang w:val="en-US" w:eastAsia="zh-CN"/>
              </w:rPr>
              <w:t>1</w:t>
            </w:r>
            <w:r>
              <w:rPr>
                <w:rFonts w:hint="eastAsia" w:ascii="宋体" w:hAnsi="宋体" w:cs="宋体"/>
                <w:sz w:val="21"/>
                <w:szCs w:val="21"/>
                <w:highlight w:val="none"/>
              </w:rPr>
              <w:t>亿份〗</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单位净值=理财计划估值日理财计划总净值/理财计划总份额，单位净值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val="en-US" w:eastAsia="zh-CN"/>
              </w:rPr>
              <w:t>四</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四位后去尾</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个工作日，最晚</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2.理财计划到期后，最快</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个工作日，最晚</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widowControl/>
              <w:spacing w:line="360" w:lineRule="auto"/>
              <w:contextualSpacing/>
              <w:rPr>
                <w:rFonts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w:t>
            </w:r>
            <w:r>
              <w:rPr>
                <w:rFonts w:hint="eastAsia" w:ascii="宋体" w:hAnsi="宋体" w:cs="宋体"/>
                <w:sz w:val="21"/>
                <w:szCs w:val="21"/>
                <w:highlight w:val="none"/>
              </w:rPr>
              <w:t>〖</w:t>
            </w:r>
            <w:r>
              <w:rPr>
                <w:rFonts w:hint="eastAsia" w:ascii="宋体" w:hAnsi="宋体" w:cs="宋体"/>
                <w:sz w:val="21"/>
                <w:szCs w:val="21"/>
                <w:highlight w:val="none"/>
                <w:lang w:val="en-US" w:eastAsia="zh-CN"/>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〗业绩比较基准为〖1.70%-2.45%〗（年化）。</w:t>
            </w:r>
          </w:p>
          <w:p>
            <w:pPr>
              <w:widowControl/>
              <w:spacing w:line="360" w:lineRule="auto"/>
              <w:contextualSpacing/>
              <w:rPr>
                <w:rFonts w:hint="eastAsia" w:ascii="宋体" w:hAnsi="宋体" w:cs="宋体"/>
                <w:sz w:val="21"/>
                <w:szCs w:val="21"/>
                <w:highlight w:val="none"/>
                <w:lang w:eastAsia="zh-CN"/>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B份额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1.80%-2.55%</w:t>
            </w:r>
            <w:r>
              <w:rPr>
                <w:rFonts w:hint="eastAsia" w:ascii="宋体" w:hAnsi="宋体" w:cs="宋体"/>
                <w:sz w:val="21"/>
                <w:szCs w:val="21"/>
                <w:highlight w:val="none"/>
              </w:rPr>
              <w:t>〗（年化）</w:t>
            </w:r>
            <w:r>
              <w:rPr>
                <w:rFonts w:hint="eastAsia" w:ascii="宋体" w:hAnsi="宋体" w:cs="宋体"/>
                <w:sz w:val="21"/>
                <w:szCs w:val="21"/>
                <w:highlight w:val="none"/>
                <w:lang w:eastAsia="zh-CN"/>
              </w:rPr>
              <w:t>。</w:t>
            </w:r>
          </w:p>
          <w:p>
            <w:pPr>
              <w:widowControl/>
              <w:spacing w:line="360" w:lineRule="auto"/>
              <w:contextualSpacing/>
              <w:rPr>
                <w:rFonts w:hint="eastAsia" w:ascii="宋体" w:hAnsi="宋体" w:cs="宋体"/>
                <w:sz w:val="21"/>
                <w:szCs w:val="21"/>
                <w:highlight w:val="none"/>
                <w:lang w:eastAsia="zh-CN"/>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W份额</w:t>
            </w:r>
            <w:r>
              <w:rPr>
                <w:rFonts w:hint="eastAsia" w:ascii="宋体" w:hAnsi="宋体" w:cs="宋体"/>
                <w:sz w:val="21"/>
                <w:szCs w:val="21"/>
                <w:highlight w:val="none"/>
              </w:rPr>
              <w:t>〗业绩比较基准为〖1.70%-2.45%〗（年化）。</w:t>
            </w:r>
          </w:p>
          <w:p>
            <w:pPr>
              <w:widowControl/>
              <w:spacing w:line="360" w:lineRule="auto"/>
              <w:jc w:val="left"/>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rPr>
              <w:t>业绩基准测算依据：</w:t>
            </w:r>
            <w:r>
              <w:rPr>
                <w:rFonts w:hint="eastAsia" w:ascii="宋体" w:hAnsi="宋体" w:cs="宋体"/>
                <w:b/>
                <w:bCs/>
                <w:sz w:val="21"/>
                <w:szCs w:val="21"/>
                <w:highlight w:val="none"/>
                <w:lang w:val="en-US" w:eastAsia="zh-CN"/>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w:t>
            </w:r>
            <w:r>
              <w:rPr>
                <w:rFonts w:hint="eastAsia" w:ascii="宋体" w:hAnsi="宋体" w:cs="宋体"/>
                <w:b/>
                <w:sz w:val="21"/>
                <w:szCs w:val="21"/>
                <w:highlight w:val="none"/>
              </w:rPr>
              <w:t>本理财计划业绩比较基准由管理人根据投资范围及投资策略，结合市场环境因素进行测算而得出。业绩比较基准是管理人基于理财计划收益风险特征、投资策略、过往经验等因素对理财计划业绩设定的投资目标。</w:t>
            </w:r>
            <w:r>
              <w:rPr>
                <w:rFonts w:hint="eastAsia" w:ascii="宋体" w:hAnsi="宋体" w:cs="宋体"/>
                <w:b/>
                <w:sz w:val="21"/>
                <w:szCs w:val="21"/>
                <w:highlight w:val="none"/>
              </w:rPr>
              <w:t>本公司提醒投资者关注，</w:t>
            </w:r>
            <w:r>
              <w:rPr>
                <w:rFonts w:hint="eastAsia" w:ascii="宋体" w:hAnsi="宋体" w:cs="宋体"/>
                <w:b/>
                <w:sz w:val="21"/>
                <w:szCs w:val="21"/>
                <w:highlight w:val="none"/>
              </w:rPr>
              <w:t>业绩比较基准不是预期收益率</w:t>
            </w:r>
            <w:r>
              <w:rPr>
                <w:rFonts w:hint="eastAsia" w:ascii="宋体" w:hAnsi="宋体" w:cs="宋体"/>
                <w:b/>
                <w:sz w:val="21"/>
                <w:szCs w:val="21"/>
                <w:highlight w:val="none"/>
                <w:lang w:eastAsia="zh-CN"/>
              </w:rPr>
              <w:t>，</w:t>
            </w:r>
            <w:r>
              <w:rPr>
                <w:rFonts w:hint="eastAsia" w:ascii="宋体" w:hAnsi="宋体" w:cs="宋体"/>
                <w:b/>
                <w:sz w:val="21"/>
                <w:szCs w:val="21"/>
                <w:highlight w:val="none"/>
              </w:rPr>
              <w:t>业绩比较基准</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widowControl/>
              <w:numPr>
                <w:ilvl w:val="0"/>
                <w:numId w:val="0"/>
              </w:numPr>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W</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0.40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widowControl/>
              <w:spacing w:line="360" w:lineRule="auto"/>
              <w:contextualSpacing/>
              <w:rPr>
                <w:rFonts w:hint="eastAsia" w:ascii="宋体" w:hAnsi="宋体" w:eastAsia="宋体" w:cs="宋体"/>
                <w:bCs/>
                <w:color w:val="FF0000"/>
                <w:sz w:val="21"/>
                <w:szCs w:val="21"/>
                <w:highlight w:val="none"/>
                <w:lang w:eastAsia="zh-CN"/>
              </w:rPr>
            </w:pPr>
            <w:r>
              <w:rPr>
                <w:rFonts w:hint="eastAsia" w:ascii="宋体" w:hAnsi="宋体" w:cs="宋体"/>
                <w:color w:val="000000"/>
                <w:sz w:val="21"/>
                <w:szCs w:val="21"/>
                <w:highlight w:val="none"/>
              </w:rPr>
              <w:t>3.固定管理费：</w:t>
            </w:r>
            <w:r>
              <w:rPr>
                <w:rFonts w:hint="eastAsia" w:ascii="宋体" w:hAnsi="宋体" w:cs="宋体"/>
                <w:color w:val="auto"/>
                <w:sz w:val="21"/>
                <w:szCs w:val="21"/>
                <w:highlight w:val="none"/>
              </w:rPr>
              <w:t>〖</w:t>
            </w:r>
            <w:r>
              <w:rPr>
                <w:rFonts w:hint="eastAsia" w:ascii="宋体" w:hAnsi="宋体" w:cs="宋体"/>
                <w:bCs/>
                <w:color w:val="auto"/>
                <w:sz w:val="21"/>
                <w:szCs w:val="21"/>
                <w:highlight w:val="none"/>
                <w:lang w:val="en-US" w:eastAsia="zh-CN"/>
              </w:rPr>
              <w:t>A份额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W</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4.认购费：本理财计划免除认购费。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widowControl/>
              <w:spacing w:line="360" w:lineRule="auto"/>
              <w:contextualSpacing/>
              <w:rPr>
                <w:rFonts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7.浮动管理费。管理人根据理财计划投资情况计算浮动管理费，本理财计划</w:t>
            </w:r>
            <w:r>
              <w:rPr>
                <w:rFonts w:hint="eastAsia" w:ascii="宋体" w:hAnsi="宋体" w:cs="宋体"/>
                <w:color w:val="000000"/>
                <w:sz w:val="21"/>
                <w:szCs w:val="21"/>
                <w:highlight w:val="none"/>
                <w:lang w:val="en-US" w:eastAsia="zh-CN"/>
              </w:rPr>
              <w:t>份额</w:t>
            </w:r>
            <w:r>
              <w:rPr>
                <w:rFonts w:hint="eastAsia" w:ascii="宋体" w:hAnsi="宋体" w:cs="宋体"/>
                <w:color w:val="000000"/>
                <w:sz w:val="21"/>
                <w:szCs w:val="21"/>
                <w:highlight w:val="none"/>
              </w:rPr>
              <w:t>投资周期的</w:t>
            </w:r>
            <w:r>
              <w:rPr>
                <w:rFonts w:hint="eastAsia" w:ascii="宋体" w:hAnsi="宋体" w:cs="宋体"/>
                <w:sz w:val="21"/>
                <w:szCs w:val="21"/>
                <w:highlight w:val="none"/>
              </w:rPr>
              <w:t>〖</w:t>
            </w:r>
            <w:r>
              <w:rPr>
                <w:rFonts w:hint="eastAsia" w:ascii="宋体" w:hAnsi="宋体" w:cs="宋体"/>
                <w:color w:val="000000"/>
                <w:sz w:val="21"/>
                <w:szCs w:val="21"/>
                <w:highlight w:val="none"/>
              </w:rPr>
              <w:t>折合年化收益率超过</w:t>
            </w:r>
            <w:r>
              <w:rPr>
                <w:rFonts w:hint="eastAsia" w:ascii="宋体" w:hAnsi="宋体" w:cs="宋体"/>
                <w:color w:val="000000"/>
                <w:sz w:val="21"/>
                <w:szCs w:val="21"/>
                <w:highlight w:val="none"/>
                <w:lang w:val="en-US" w:eastAsia="zh-CN"/>
              </w:rPr>
              <w:t>业绩比较基准上限</w:t>
            </w:r>
            <w:r>
              <w:rPr>
                <w:rFonts w:hint="eastAsia" w:ascii="宋体" w:hAnsi="宋体" w:cs="宋体"/>
                <w:sz w:val="21"/>
                <w:szCs w:val="21"/>
                <w:highlight w:val="none"/>
              </w:rPr>
              <w:t>〗</w:t>
            </w:r>
            <w:r>
              <w:rPr>
                <w:rFonts w:hint="eastAsia" w:ascii="宋体" w:hAnsi="宋体" w:cs="宋体"/>
                <w:color w:val="000000"/>
                <w:sz w:val="21"/>
                <w:szCs w:val="21"/>
                <w:highlight w:val="none"/>
              </w:rPr>
              <w:t>的部分,</w:t>
            </w:r>
            <w:r>
              <w:rPr>
                <w:rFonts w:hint="eastAsia" w:ascii="宋体" w:hAnsi="宋体" w:cs="宋体"/>
                <w:b/>
                <w:color w:val="000000"/>
                <w:sz w:val="21"/>
                <w:szCs w:val="21"/>
                <w:highlight w:val="none"/>
              </w:rPr>
              <w:t>管理人提取</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5</w:t>
            </w:r>
            <w:r>
              <w:rPr>
                <w:rFonts w:hint="eastAsia" w:ascii="宋体" w:hAnsi="宋体" w:cs="宋体"/>
                <w:b/>
                <w:bCs/>
                <w:sz w:val="21"/>
                <w:szCs w:val="21"/>
                <w:highlight w:val="none"/>
                <w:lang w:val="en-US" w:eastAsia="zh-CN"/>
              </w:rPr>
              <w:t>0</w:t>
            </w:r>
            <w:r>
              <w:rPr>
                <w:rFonts w:hint="eastAsia" w:ascii="宋体" w:hAnsi="宋体" w:cs="宋体"/>
                <w:b/>
                <w:bCs/>
                <w:sz w:val="21"/>
                <w:szCs w:val="21"/>
                <w:highlight w:val="none"/>
              </w:rPr>
              <w:t>%〗</w:t>
            </w:r>
            <w:r>
              <w:rPr>
                <w:rFonts w:hint="eastAsia" w:ascii="宋体" w:hAnsi="宋体" w:cs="宋体"/>
                <w:b/>
                <w:color w:val="000000"/>
                <w:sz w:val="21"/>
                <w:szCs w:val="21"/>
                <w:highlight w:val="none"/>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spacing w:line="360" w:lineRule="auto"/>
              <w:outlineLvl w:val="0"/>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spacing w:line="360" w:lineRule="auto"/>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highlight w:val="none"/>
              </w:rPr>
              <w:t>（具体以销售机构规定为准）</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val="en-US" w:eastAsia="zh-CN"/>
        </w:rPr>
        <w:t>总</w:t>
      </w:r>
      <w:r>
        <w:rPr>
          <w:rFonts w:hint="eastAsia" w:ascii="宋体" w:hAnsi="宋体" w:cs="宋体"/>
          <w:bCs/>
          <w:sz w:val="24"/>
          <w:highlight w:val="none"/>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jc w:val="center"/>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投资资产</w:t>
            </w:r>
          </w:p>
        </w:tc>
        <w:tc>
          <w:tcPr>
            <w:tcW w:w="1996"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大类资产类型</w:t>
            </w: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固定收益类资产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权益类资产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0%-20%</w:t>
            </w:r>
          </w:p>
        </w:tc>
      </w:tr>
    </w:tbl>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spacing w:line="360" w:lineRule="auto"/>
        <w:ind w:firstLine="480" w:firstLineChars="200"/>
        <w:rPr>
          <w:rFonts w:hint="eastAsia" w:ascii="宋体" w:hAnsi="宋体" w:cs="宋体"/>
          <w:b/>
          <w:sz w:val="24"/>
          <w:highlight w:val="none"/>
        </w:rPr>
      </w:pPr>
      <w:r>
        <w:rPr>
          <w:rFonts w:hint="eastAsia" w:ascii="宋体" w:cs="宋体"/>
          <w:sz w:val="24"/>
          <w:szCs w:val="24"/>
          <w:highlight w:val="none"/>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4"/>
          <w:szCs w:val="24"/>
          <w:highlight w:val="none"/>
        </w:rPr>
        <w:t>本产品还可能根据市场行情，在监管政策允许的范围内，在适当的时机投资不高于理财产品总资产的20%的资金于其他资产。</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Chars="0" w:firstLine="480" w:firstLineChars="200"/>
        <w:jc w:val="left"/>
        <w:outlineLvl w:val="2"/>
        <w:rPr>
          <w:rFonts w:hint="eastAsia" w:ascii="宋体" w:hAnsi="宋体" w:cs="宋体"/>
          <w:b/>
          <w:sz w:val="24"/>
          <w:highlight w:val="none"/>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本理财计划如定期开放周期不低于90天，应当在开放日及开放日前7个工作日内持有不低于该理财计划资产净值5%的现金或者到期日在一年以内的国债、中央银行票据和政策性金融债券；如定期开放周期低于90天，</w:t>
      </w:r>
      <w:r>
        <w:rPr>
          <w:rFonts w:hint="eastAsia" w:ascii="宋体" w:hAnsi="宋体" w:cs="宋体"/>
          <w:bCs/>
          <w:sz w:val="24"/>
          <w:highlight w:val="none"/>
        </w:rPr>
        <w:t>应当持有不低于该理财</w:t>
      </w:r>
      <w:r>
        <w:rPr>
          <w:rFonts w:hint="eastAsia" w:ascii="宋体" w:hAnsi="宋体" w:cs="宋体"/>
          <w:bCs/>
          <w:sz w:val="24"/>
          <w:highlight w:val="none"/>
          <w:lang w:eastAsia="zh-CN"/>
        </w:rPr>
        <w:t>计划</w:t>
      </w:r>
      <w:r>
        <w:rPr>
          <w:rFonts w:hint="eastAsia" w:ascii="宋体" w:hAnsi="宋体" w:cs="宋体"/>
          <w:bCs/>
          <w:sz w:val="24"/>
          <w:highlight w:val="none"/>
        </w:rPr>
        <w:t>资产净值5%的现金或者到期日在一年以内的国债、中央银行票据和政策性金融债券。</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本理财计划如定期开放周期低于90天，计划投资不存在活跃交易市场，并且需要采用估值技术确定公允价值的资产比例不得超过理财产品净资产50%以上。</w:t>
      </w:r>
    </w:p>
    <w:p>
      <w:pPr>
        <w:numPr>
          <w:ilvl w:val="0"/>
          <w:numId w:val="2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9"/>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360" w:lineRule="auto"/>
              <w:jc w:val="center"/>
              <w:rPr>
                <w:rFonts w:ascii="宋体" w:hAnsi="宋体" w:cs="宋体"/>
                <w:bCs/>
                <w:sz w:val="21"/>
                <w:szCs w:val="18"/>
                <w:highlight w:val="none"/>
              </w:rPr>
            </w:pPr>
            <w:r>
              <w:rPr>
                <w:rFonts w:hint="eastAsia" w:ascii="宋体" w:hAnsi="宋体" w:cs="宋体"/>
                <w:bCs/>
                <w:sz w:val="21"/>
                <w:szCs w:val="18"/>
                <w:highlight w:val="none"/>
              </w:rPr>
              <w:t>托管人名称</w:t>
            </w:r>
          </w:p>
        </w:tc>
        <w:tc>
          <w:tcPr>
            <w:tcW w:w="6233" w:type="dxa"/>
            <w:noWrap w:val="0"/>
            <w:vAlign w:val="top"/>
          </w:tcPr>
          <w:p>
            <w:pPr>
              <w:spacing w:line="360" w:lineRule="auto"/>
              <w:jc w:val="left"/>
              <w:rPr>
                <w:rFonts w:ascii="宋体" w:hAnsi="宋体" w:cs="宋体"/>
                <w:bCs/>
                <w:sz w:val="21"/>
                <w:szCs w:val="18"/>
                <w:highlight w:val="none"/>
              </w:rPr>
            </w:pPr>
            <w:r>
              <w:rPr>
                <w:rFonts w:hint="eastAsia" w:ascii="宋体" w:hAnsi="宋体" w:cs="宋体"/>
                <w:bCs/>
                <w:sz w:val="21"/>
                <w:szCs w:val="18"/>
                <w:highlight w:val="none"/>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360" w:lineRule="auto"/>
              <w:jc w:val="center"/>
              <w:rPr>
                <w:rFonts w:ascii="宋体" w:hAnsi="宋体" w:cs="宋体"/>
                <w:bCs/>
                <w:sz w:val="21"/>
                <w:szCs w:val="18"/>
                <w:highlight w:val="none"/>
              </w:rPr>
            </w:pPr>
            <w:r>
              <w:rPr>
                <w:rFonts w:hint="eastAsia" w:ascii="宋体" w:hAnsi="宋体" w:cs="宋体"/>
                <w:bCs/>
                <w:sz w:val="21"/>
                <w:szCs w:val="18"/>
                <w:highlight w:val="none"/>
              </w:rPr>
              <w:t>托管人住所</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360" w:lineRule="auto"/>
              <w:jc w:val="center"/>
              <w:rPr>
                <w:rFonts w:ascii="宋体" w:hAnsi="宋体" w:cs="宋体"/>
                <w:bCs/>
                <w:sz w:val="21"/>
                <w:szCs w:val="18"/>
                <w:highlight w:val="none"/>
              </w:rPr>
            </w:pPr>
            <w:r>
              <w:rPr>
                <w:rFonts w:hint="eastAsia" w:ascii="宋体" w:hAnsi="宋体" w:cs="宋体"/>
                <w:bCs/>
                <w:sz w:val="21"/>
                <w:szCs w:val="18"/>
                <w:highlight w:val="none"/>
              </w:rPr>
              <w:t>托管人职责</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83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88"/>
        <w:gridCol w:w="132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restart"/>
            <w:noWrap w:val="0"/>
            <w:vAlign w:val="center"/>
          </w:tcPr>
          <w:p>
            <w:pPr>
              <w:spacing w:line="24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销售机构</w:t>
            </w:r>
            <w:r>
              <w:rPr>
                <w:rFonts w:hint="eastAsia" w:ascii="宋体" w:hAnsi="宋体" w:eastAsia="宋体" w:cs="宋体"/>
                <w:bCs/>
                <w:sz w:val="21"/>
                <w:szCs w:val="21"/>
                <w:highlight w:val="none"/>
                <w:lang w:val="en-US" w:eastAsia="zh-CN"/>
              </w:rPr>
              <w:t>信息</w:t>
            </w: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cs="宋体"/>
                <w:bCs/>
                <w:sz w:val="21"/>
                <w:szCs w:val="18"/>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aps w:val="0"/>
                <w:color w:val="000000"/>
                <w:spacing w:val="0"/>
                <w:kern w:val="0"/>
                <w:sz w:val="21"/>
                <w:szCs w:val="21"/>
                <w:u w:val="none"/>
                <w:lang w:bidi="ar"/>
              </w:rPr>
              <w:t>江苏苏商银行股份有限公司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广东南粤银行股份有限公司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东莞银行股份有限公司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日照银行股份有限公司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苏州银行股份有限公司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杭银理财有限责任公司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澳门国际银行股份有限公司广州分行</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江苏常熟农村商业银行股份有限公司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浙商银行股份有限公司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九江银行股份有限公司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浙江舟山定海海洋农村商业银行股份有限公司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浙江临安农村商业银行股份有限公司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浙江青田农村商业银行股份有限公司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南洋商业银行（中国）有限公司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中邮邮惠万家银行有限责任公司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cs="宋体"/>
                <w:i w:val="0"/>
                <w:color w:val="000000"/>
                <w:kern w:val="0"/>
                <w:sz w:val="21"/>
                <w:szCs w:val="21"/>
                <w:u w:val="none"/>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温州银行股份有限公司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浙江新昌农村商业银行股份有限公司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浙江永康农村商业银行股份有限公司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绍兴银行股份有限公司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浙江衢州衢江农村商业银行股份有限公司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新韩银行（中国）有限公司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秦皇岛银行股份有限公司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潍坊银行股份有限公司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浙江江山农村商业银行股份有限公司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浙江常山农村商业银行股份有限公司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浙江武义农村商业银行股份有限公司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浙江网商银行股份有限公司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浙江省杭州市西湖区古荡街道西溪路556号阿里中心D幢9层、E幢3-8层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0571-26888888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销售机构职责</w:t>
            </w:r>
          </w:p>
        </w:tc>
        <w:tc>
          <w:tcPr>
            <w:tcW w:w="6888" w:type="dxa"/>
            <w:gridSpan w:val="3"/>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主要负责理财计划推广、投资者风险承受能力评估、投资者适当性管理、理财计划份额认购、申购及赎回办理。</w:t>
            </w:r>
            <w:r>
              <w:rPr>
                <w:rFonts w:hint="eastAsia" w:ascii="宋体" w:hAnsi="宋体" w:eastAsia="宋体" w:cs="宋体"/>
                <w:bCs/>
                <w:sz w:val="21"/>
                <w:szCs w:val="21"/>
                <w:highlight w:val="none"/>
              </w:rPr>
              <w:br w:type="textWrapping"/>
            </w:r>
            <w:r>
              <w:rPr>
                <w:rFonts w:hint="eastAsia" w:ascii="宋体" w:hAnsi="宋体" w:eastAsia="宋体" w:cs="宋体"/>
                <w:bCs/>
                <w:sz w:val="21"/>
                <w:szCs w:val="21"/>
                <w:highlight w:val="none"/>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本理财计划后续如新增/减少销售机构或销售机构信息变更，请以管理人最新公告或官方网站展示为准。</w:t>
      </w:r>
    </w:p>
    <w:p>
      <w:pPr>
        <w:spacing w:line="360" w:lineRule="auto"/>
        <w:ind w:firstLine="482" w:firstLineChars="200"/>
        <w:rPr>
          <w:rFonts w:hint="eastAsia" w:ascii="宋体" w:hAnsi="宋体" w:cs="宋体"/>
          <w:b/>
          <w:sz w:val="24"/>
          <w:highlight w:val="none"/>
        </w:rPr>
      </w:pPr>
    </w:p>
    <w:p>
      <w:pPr>
        <w:spacing w:line="360" w:lineRule="auto"/>
        <w:jc w:val="left"/>
        <w:rPr>
          <w:rFonts w:ascii="宋体" w:hAnsi="宋体" w:cs="宋体"/>
          <w:bCs/>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H为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每日应计提的</w:t>
      </w:r>
      <w:r>
        <w:rPr>
          <w:rFonts w:hint="eastAsia" w:ascii="宋体" w:hAnsi="宋体" w:cs="宋体"/>
          <w:bCs/>
          <w:color w:val="000000"/>
          <w:sz w:val="24"/>
          <w:highlight w:val="none"/>
          <w:lang w:eastAsia="zh-CN"/>
        </w:rPr>
        <w:t>销售服务费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原则上按日计提。</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每日应计提的</w:t>
      </w:r>
      <w:r>
        <w:rPr>
          <w:rFonts w:hint="eastAsia" w:ascii="宋体" w:hAnsi="宋体" w:cs="宋体"/>
          <w:bCs/>
          <w:color w:val="000000"/>
          <w:sz w:val="24"/>
          <w:highlight w:val="none"/>
          <w:lang w:val="en-US"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eastAsia="zh-CN"/>
        </w:rPr>
        <w:t>如理财计划实际运作结果不达业绩比较基准下限时，管理人有权减免固定管理费。</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本理财计划免除申购费。</w:t>
      </w:r>
    </w:p>
    <w:p>
      <w:pPr>
        <w:numPr>
          <w:ilvl w:val="0"/>
          <w:numId w:val="3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本理财计划免除赎回费。</w:t>
      </w:r>
    </w:p>
    <w:p>
      <w:pPr>
        <w:numPr>
          <w:ilvl w:val="0"/>
          <w:numId w:val="3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理财管理人根据理财计划投资情况计算浮动管理费，本理财计划</w:t>
      </w:r>
      <w:r>
        <w:rPr>
          <w:rFonts w:hint="eastAsia" w:ascii="宋体" w:hAnsi="宋体" w:cs="宋体"/>
          <w:bCs/>
          <w:color w:val="000000"/>
          <w:sz w:val="24"/>
          <w:highlight w:val="none"/>
          <w:lang w:val="en-US" w:eastAsia="zh-CN"/>
        </w:rPr>
        <w:t>份额</w:t>
      </w:r>
      <w:r>
        <w:rPr>
          <w:rFonts w:hint="eastAsia" w:ascii="宋体" w:hAnsi="宋体" w:cs="宋体"/>
          <w:bCs/>
          <w:color w:val="000000"/>
          <w:sz w:val="24"/>
          <w:highlight w:val="none"/>
        </w:rPr>
        <w:t>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折合年化收益率超过</w:t>
      </w:r>
      <w:r>
        <w:rPr>
          <w:rFonts w:hint="eastAsia" w:ascii="宋体" w:hAnsi="宋体" w:cs="宋体"/>
          <w:bCs/>
          <w:color w:val="000000"/>
          <w:sz w:val="24"/>
          <w:highlight w:val="none"/>
          <w:lang w:val="en-US" w:eastAsia="zh-CN"/>
        </w:rPr>
        <w:t>业绩比较基准上限</w:t>
      </w:r>
      <w:r>
        <w:rPr>
          <w:rFonts w:hint="eastAsia" w:ascii="宋体" w:hAnsi="宋体" w:cs="宋体"/>
          <w:szCs w:val="21"/>
          <w:highlight w:val="none"/>
        </w:rPr>
        <w:t>〗</w:t>
      </w:r>
      <w:r>
        <w:rPr>
          <w:rFonts w:hint="eastAsia" w:ascii="宋体" w:hAnsi="宋体" w:cs="宋体"/>
          <w:bCs/>
          <w:color w:val="000000"/>
          <w:sz w:val="24"/>
          <w:highlight w:val="none"/>
        </w:rPr>
        <w:t>的部分管理人提取</w:t>
      </w:r>
      <w:r>
        <w:rPr>
          <w:rFonts w:hint="eastAsia" w:ascii="宋体" w:hAnsi="宋体" w:cs="宋体"/>
          <w:szCs w:val="21"/>
          <w:highlight w:val="none"/>
        </w:rPr>
        <w:t>〖</w:t>
      </w:r>
      <w:r>
        <w:rPr>
          <w:rFonts w:hint="eastAsia" w:ascii="宋体" w:hAnsi="宋体" w:cs="宋体"/>
          <w:szCs w:val="21"/>
          <w:highlight w:val="none"/>
          <w:lang w:val="en-US" w:eastAsia="zh-CN"/>
        </w:rPr>
        <w:t>50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作为浮动管理费，每个投资周期结束后收取。本理财计划</w:t>
      </w:r>
      <w:r>
        <w:rPr>
          <w:rFonts w:hint="eastAsia" w:ascii="宋体" w:hAnsi="宋体" w:cs="宋体"/>
          <w:bCs/>
          <w:color w:val="000000"/>
          <w:sz w:val="24"/>
          <w:highlight w:val="none"/>
          <w:lang w:val="en-US" w:eastAsia="zh-CN"/>
        </w:rPr>
        <w:t>份额</w:t>
      </w:r>
      <w:r>
        <w:rPr>
          <w:rFonts w:hint="eastAsia" w:ascii="宋体" w:hAnsi="宋体" w:cs="宋体"/>
          <w:bCs/>
          <w:color w:val="000000"/>
          <w:sz w:val="24"/>
          <w:highlight w:val="none"/>
        </w:rPr>
        <w:t>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折合年化收益率若小于或等于</w:t>
      </w:r>
      <w:r>
        <w:rPr>
          <w:rFonts w:hint="eastAsia" w:ascii="宋体" w:hAnsi="宋体" w:cs="宋体"/>
          <w:bCs/>
          <w:color w:val="000000"/>
          <w:sz w:val="24"/>
          <w:highlight w:val="none"/>
          <w:lang w:val="en-US" w:eastAsia="zh-CN"/>
        </w:rPr>
        <w:t>业绩比较基准上限</w:t>
      </w:r>
      <w:r>
        <w:rPr>
          <w:rFonts w:hint="eastAsia" w:ascii="宋体" w:hAnsi="宋体" w:cs="宋体"/>
          <w:szCs w:val="21"/>
          <w:highlight w:val="none"/>
        </w:rPr>
        <w:t>〗</w:t>
      </w:r>
      <w:r>
        <w:rPr>
          <w:rFonts w:hint="eastAsia" w:ascii="宋体" w:hAnsi="宋体" w:cs="宋体"/>
          <w:bCs/>
          <w:color w:val="000000"/>
          <w:sz w:val="24"/>
          <w:highlight w:val="none"/>
        </w:rPr>
        <w:t>则不收取浮动管理费。</w:t>
      </w:r>
      <w:r>
        <w:rPr>
          <w:rFonts w:hint="eastAsia" w:ascii="宋体" w:hAnsi="宋体" w:cs="宋体"/>
          <w:bCs/>
          <w:color w:val="000000"/>
          <w:sz w:val="24"/>
          <w:highlight w:val="none"/>
          <w:lang w:eastAsia="zh-CN"/>
        </w:rPr>
        <w:t>浮动管理费原则上按估值日计提，</w:t>
      </w:r>
      <w:r>
        <w:rPr>
          <w:rFonts w:hint="eastAsia" w:ascii="宋体" w:hAnsi="宋体" w:cs="宋体"/>
          <w:bCs/>
          <w:color w:val="000000"/>
          <w:sz w:val="24"/>
          <w:highlight w:val="none"/>
          <w:lang w:val="en-US" w:eastAsia="zh-CN"/>
        </w:rPr>
        <w:t>每个投资周期结束后</w:t>
      </w:r>
      <w:r>
        <w:rPr>
          <w:rFonts w:hint="eastAsia" w:ascii="宋体" w:hAnsi="宋体" w:cs="宋体"/>
          <w:bCs/>
          <w:color w:val="000000"/>
          <w:sz w:val="24"/>
          <w:highlight w:val="none"/>
          <w:lang w:eastAsia="zh-CN"/>
        </w:rPr>
        <w:t>收取。</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lang w:val="en-US" w:eastAsia="zh-CN"/>
        </w:rPr>
        <w:t>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当前确认日应收取浮动管理费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上一个确认日的存续份额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上一个确认日前一日费后单位净值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当前确认日前一日未扣除浮动管理费前的单位净值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本次投资周期的业绩比较</w:t>
      </w:r>
      <w:r>
        <w:rPr>
          <w:rFonts w:hint="eastAsia" w:ascii="宋体" w:hAnsi="宋体" w:cs="宋体"/>
          <w:bCs/>
          <w:color w:val="000000"/>
          <w:sz w:val="24"/>
          <w:highlight w:val="none"/>
          <w:lang w:val="en-US" w:eastAsia="zh-CN"/>
        </w:rPr>
        <w:t>基准</w:t>
      </w:r>
      <w:r>
        <w:rPr>
          <w:rFonts w:hint="eastAsia" w:ascii="宋体" w:hAnsi="宋体" w:cs="宋体"/>
          <w:bCs/>
          <w:color w:val="000000"/>
          <w:sz w:val="24"/>
          <w:highlight w:val="none"/>
        </w:rPr>
        <w:t>上限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上一个确认日（含）至当前确认日（不含）的实际理财天数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当前投资周期内每单位份额的实际分红金额的合计（如有）</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2"/>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w:t>
      </w:r>
      <w:r>
        <w:rPr>
          <w:rFonts w:hint="eastAsia" w:ascii="宋体" w:hAnsi="宋体" w:cs="宋体"/>
          <w:bCs/>
          <w:color w:val="000000"/>
          <w:sz w:val="24"/>
          <w:highlight w:val="none"/>
        </w:rPr>
        <w:t>为提取相关费用及税费后的单位理财计划份额净值。</w:t>
      </w:r>
    </w:p>
    <w:p>
      <w:pPr>
        <w:numPr>
          <w:ilvl w:val="0"/>
          <w:numId w:val="43"/>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eastAsia="zh-CN"/>
        </w:rPr>
        <w:t>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（如有）后，投资收益率超过〖</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sz w:val="24"/>
          <w:highlight w:val="none"/>
          <w:lang w:val="en-US" w:eastAsia="zh-CN"/>
        </w:rPr>
        <w:t>后</w:t>
      </w:r>
      <w:r>
        <w:rPr>
          <w:rFonts w:hint="eastAsia" w:ascii="宋体" w:hAnsi="宋体" w:cs="宋体"/>
          <w:bCs/>
          <w:color w:val="000000"/>
          <w:sz w:val="24"/>
          <w:highlight w:val="none"/>
        </w:rPr>
        <w:t>，</w:t>
      </w:r>
      <w:r>
        <w:rPr>
          <w:rFonts w:hint="eastAsia" w:ascii="宋体" w:hAnsi="宋体"/>
          <w:highlight w:val="none"/>
        </w:rPr>
        <w:t>赎回份额</w:t>
      </w:r>
      <w:r>
        <w:rPr>
          <w:rFonts w:hint="eastAsia" w:ascii="宋体" w:hAnsi="宋体" w:cs="宋体"/>
          <w:bCs/>
          <w:color w:val="000000"/>
          <w:sz w:val="24"/>
          <w:highlight w:val="none"/>
        </w:rPr>
        <w:t>100,000.00</w:t>
      </w:r>
      <w:r>
        <w:rPr>
          <w:rFonts w:hint="eastAsia" w:ascii="宋体" w:hAnsi="宋体"/>
          <w:highlight w:val="none"/>
        </w:rPr>
        <w:t>份</w:t>
      </w:r>
      <w:r>
        <w:rPr>
          <w:rFonts w:hint="eastAsia" w:ascii="宋体" w:hAnsi="宋体" w:cs="宋体"/>
          <w:bCs/>
          <w:color w:val="000000"/>
          <w:sz w:val="24"/>
          <w:highlight w:val="none"/>
        </w:rPr>
        <w:t>。假设管理人提取超过〖业绩比较基准上限〗的50%作为浮动管理费，</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（如有）后，如理财计划净值为1.0615，此时，(1.0615/1.00-1)×365/362=6.20%&gt;5.00%，即投资收益超过〖5.00%〗，则投资管理人对超过〖5.00%〗部分收益收取浮动管理费，浮动管理费为：</w:t>
      </w:r>
    </w:p>
    <w:p>
      <w:pPr>
        <w:spacing w:line="360" w:lineRule="auto"/>
        <w:ind w:firstLine="480" w:firstLineChars="2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100,000.00×1.0615-100,000.00×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100,000.00×（1.0615-1.00）-</w:t>
      </w:r>
      <w:r>
        <w:rPr>
          <w:rFonts w:hint="eastAsia" w:ascii="宋体" w:hAnsi="宋体" w:cs="宋体"/>
          <w:bCs/>
          <w:color w:val="000000"/>
          <w:sz w:val="24"/>
          <w:highlight w:val="none"/>
          <w:lang w:val="en-US" w:eastAsia="zh-CN"/>
        </w:rPr>
        <w:t>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 xml:space="preserve"> =5,55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（元），理财计划</w:t>
      </w:r>
      <w:r>
        <w:rPr>
          <w:rFonts w:hint="eastAsia" w:ascii="宋体" w:hAnsi="宋体" w:cs="宋体"/>
          <w:bCs/>
          <w:color w:val="000000"/>
          <w:sz w:val="24"/>
          <w:highlight w:val="none"/>
          <w:lang w:val="en-US" w:eastAsia="zh-CN"/>
        </w:rPr>
        <w:t>赎回</w:t>
      </w:r>
      <w:r>
        <w:rPr>
          <w:rFonts w:hint="eastAsia" w:ascii="宋体" w:hAnsi="宋体" w:cs="宋体"/>
          <w:bCs/>
          <w:color w:val="000000"/>
          <w:sz w:val="24"/>
          <w:highlight w:val="none"/>
        </w:rPr>
        <w:t>时，投资者获得的实际收益相当于达到年化收益率水平为：</w:t>
      </w:r>
      <w:r>
        <w:rPr>
          <w:rFonts w:hint="eastAsia" w:ascii="宋体" w:hAnsi="宋体" w:cs="宋体"/>
          <w:bCs/>
          <w:color w:val="000000"/>
          <w:sz w:val="24"/>
          <w:highlight w:val="none"/>
        </w:rPr>
        <w:t>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/100,000.00×365/362=5.60%。</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（如有）后，投资收益率未达到〖</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sz w:val="24"/>
          <w:highlight w:val="none"/>
          <w:lang w:val="en-US" w:eastAsia="zh-CN"/>
        </w:rPr>
        <w:t>后</w:t>
      </w:r>
      <w:r>
        <w:rPr>
          <w:rFonts w:hint="eastAsia" w:ascii="宋体" w:hAnsi="宋体" w:cs="宋体"/>
          <w:bCs/>
          <w:color w:val="000000"/>
          <w:sz w:val="24"/>
          <w:highlight w:val="none"/>
        </w:rPr>
        <w:t>，</w:t>
      </w:r>
      <w:r>
        <w:rPr>
          <w:rFonts w:hint="eastAsia" w:ascii="宋体" w:hAnsi="宋体"/>
          <w:highlight w:val="none"/>
        </w:rPr>
        <w:t>赎回份额</w:t>
      </w:r>
      <w:r>
        <w:rPr>
          <w:rFonts w:hint="eastAsia" w:ascii="宋体" w:hAnsi="宋体" w:cs="宋体"/>
          <w:bCs/>
          <w:color w:val="000000"/>
          <w:sz w:val="24"/>
          <w:highlight w:val="none"/>
        </w:rPr>
        <w:t>100,000.00</w:t>
      </w:r>
      <w:r>
        <w:rPr>
          <w:rFonts w:hint="eastAsia" w:ascii="宋体" w:hAnsi="宋体"/>
          <w:highlight w:val="none"/>
        </w:rPr>
        <w:t>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rPr>
        <w:t>业绩比较基准上限</w:t>
      </w:r>
      <w:r>
        <w:rPr>
          <w:rFonts w:hint="eastAsia" w:ascii="宋体" w:hAnsi="宋体" w:cs="宋体"/>
          <w:bCs/>
          <w:color w:val="000000"/>
          <w:sz w:val="24"/>
          <w:highlight w:val="none"/>
        </w:rPr>
        <w:t>〗的50%作为浮动管理费，</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（如有）后，如理财计划净值为1.0426，此时，(1.0426/1.00-1)×365/362=4.30%&lt;5.00%，即投资收益未达到〖5.00%〗，则投资管理人不收取浮动管理费，投资者最终收益为：100,000.00×(1.0426-1.00）=4,260.00（元）</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示例三</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sz w:val="24"/>
          <w:highlight w:val="none"/>
          <w:lang w:val="en-US" w:eastAsia="zh-CN"/>
        </w:rPr>
        <w:t>后</w:t>
      </w:r>
      <w:r>
        <w:rPr>
          <w:rFonts w:hint="eastAsia" w:ascii="宋体" w:hAnsi="宋体" w:cs="宋体"/>
          <w:bCs/>
          <w:color w:val="000000"/>
          <w:sz w:val="24"/>
          <w:highlight w:val="none"/>
        </w:rPr>
        <w:t>，</w:t>
      </w:r>
      <w:r>
        <w:rPr>
          <w:rFonts w:hint="eastAsia" w:ascii="宋体" w:hAnsi="宋体"/>
          <w:highlight w:val="none"/>
        </w:rPr>
        <w:t>赎回份额</w:t>
      </w:r>
      <w:r>
        <w:rPr>
          <w:rFonts w:hint="eastAsia" w:ascii="宋体" w:hAnsi="宋体" w:cs="宋体"/>
          <w:bCs/>
          <w:color w:val="000000"/>
          <w:sz w:val="24"/>
          <w:highlight w:val="none"/>
        </w:rPr>
        <w:t>100,000.00</w:t>
      </w:r>
      <w:r>
        <w:rPr>
          <w:rFonts w:hint="eastAsia" w:ascii="宋体" w:hAnsi="宋体"/>
          <w:highlight w:val="none"/>
        </w:rPr>
        <w:t>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rPr>
        <w:t>业绩比较基准上限</w:t>
      </w:r>
      <w:r>
        <w:rPr>
          <w:rFonts w:hint="eastAsia" w:ascii="宋体" w:hAnsi="宋体" w:cs="宋体"/>
          <w:bCs/>
          <w:color w:val="000000"/>
          <w:sz w:val="24"/>
          <w:highlight w:val="none"/>
        </w:rPr>
        <w:t>〗的50%作为浮动管理费，</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（如有）后，如理财计划净值为0.9975，则投资管理人不收取浮动管理费，投资者最终收益为：100,000.00×（0.9975-1.00）=-250.00（元）。</w:t>
      </w:r>
    </w:p>
    <w:p>
      <w:pPr>
        <w:numPr>
          <w:ilvl w:val="0"/>
          <w:numId w:val="4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val="en-US"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lang w:eastAsia="zh-CN"/>
        </w:rPr>
        <w:t>（</w:t>
      </w:r>
      <w:r>
        <w:rPr>
          <w:rFonts w:hint="eastAsia" w:ascii="宋体" w:hAnsi="宋体" w:cs="宋体"/>
          <w:bCs/>
          <w:color w:val="000000"/>
        </w:rPr>
        <w:t>具体以销售机构要求为准</w:t>
      </w:r>
      <w:r>
        <w:rPr>
          <w:rFonts w:hint="eastAsia" w:ascii="宋体" w:hAnsi="宋体" w:cs="宋体"/>
          <w:bCs/>
          <w:color w:val="000000"/>
          <w:lang w:eastAsia="zh-CN"/>
        </w:rPr>
        <w:t>）</w:t>
      </w:r>
      <w:r>
        <w:rPr>
          <w:rFonts w:hint="eastAsia" w:ascii="宋体" w:hAnsi="宋体" w:cs="宋体"/>
          <w:bCs/>
          <w:color w:val="000000"/>
          <w:sz w:val="24"/>
          <w:highlight w:val="none"/>
        </w:rPr>
        <w:t>。</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申请将在确认日进行确认，即开放期后的第〖1〗个工作日进行确认。</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工作时间为每个工作日上午〖9:00〗至下午〖17:00〗。</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如</w:t>
      </w:r>
      <w:r>
        <w:rPr>
          <w:rFonts w:hint="eastAsia" w:ascii="宋体" w:hAnsi="宋体" w:cs="宋体"/>
          <w:bCs/>
          <w:color w:val="000000"/>
          <w:sz w:val="24"/>
          <w:highlight w:val="none"/>
          <w:lang w:eastAsia="zh-CN"/>
        </w:rPr>
        <w:t>新增申</w:t>
      </w:r>
      <w:r>
        <w:rPr>
          <w:rFonts w:hint="eastAsia" w:ascii="宋体" w:hAnsi="宋体" w:cs="宋体"/>
          <w:bCs/>
          <w:color w:val="000000"/>
          <w:sz w:val="24"/>
          <w:highlight w:val="none"/>
          <w:lang w:val="en-US" w:eastAsia="zh-CN"/>
        </w:rPr>
        <w:t>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〗个工作日内（遇节假日顺延）理财资金与收益将一次性支付。如遇资金在途或法定工作日调整，实际资金到账日以公告为准。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理财计划存续期内，若理财计划开放日净赎回申请份额超过上一日日终理财计划总份额〖10%〗时，即构成巨额赎回。</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如连续2日（含）以上开放日发生巨额赎回，对于已经接受的赎回申请，管理人可以延缓支付赎回款项，但延缓期限不得超过5个工作日。</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szCs w:val="24"/>
          <w:highlight w:val="none"/>
        </w:rPr>
        <w:t>〖</w:t>
      </w:r>
      <w:r>
        <w:rPr>
          <w:rFonts w:hint="eastAsia" w:ascii="宋体" w:hAnsi="宋体" w:cs="宋体"/>
          <w:szCs w:val="21"/>
          <w:highlight w:val="none"/>
          <w:lang w:val="en-US" w:eastAsia="zh-CN"/>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市场收益率大幅波动，可能或实质影响理财计划投资收益的。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highlight w:val="none"/>
        </w:rPr>
        <w:t>理财产品成立不足90个工作日或者存续期不超过90个工作日的，不编制理财产品当期的季度、半年和年度报告。</w:t>
      </w:r>
    </w:p>
    <w:p>
      <w:pPr>
        <w:numPr>
          <w:ilvl w:val="0"/>
          <w:numId w:val="5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eastAsia="zh-CN"/>
        </w:rPr>
        <w:t>销售机构或</w:t>
      </w:r>
      <w:r>
        <w:rPr>
          <w:rFonts w:hint="eastAsia" w:ascii="宋体" w:hAnsi="宋体" w:cs="宋体"/>
          <w:bCs/>
          <w:color w:val="000000"/>
          <w:sz w:val="24"/>
          <w:highlight w:val="none"/>
        </w:rPr>
        <w:t>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numPr>
          <w:ilvl w:val="0"/>
          <w:numId w:val="0"/>
        </w:numPr>
        <w:spacing w:line="360" w:lineRule="auto"/>
        <w:ind w:leftChars="200"/>
        <w:outlineLvl w:val="1"/>
        <w:rPr>
          <w:rFonts w:hint="eastAsia" w:ascii="宋体" w:hAnsi="宋体" w:cs="宋体"/>
          <w:b/>
          <w:kern w:val="0"/>
          <w:sz w:val="24"/>
          <w:highlight w:val="none"/>
        </w:rPr>
      </w:pPr>
      <w:r>
        <w:rPr>
          <w:rFonts w:hint="eastAsia" w:ascii="宋体" w:hAnsi="宋体" w:cs="宋体"/>
          <w:bCs/>
          <w:color w:val="auto"/>
          <w:kern w:val="2"/>
          <w:highlight w:val="none"/>
          <w:lang w:eastAsia="zh-CN"/>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0"/>
        </w:numPr>
        <w:spacing w:line="360" w:lineRule="auto"/>
        <w:ind w:left="0" w:leftChars="0"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0"/>
        </w:numPr>
        <w:spacing w:line="360" w:lineRule="auto"/>
        <w:ind w:left="0" w:leftChars="0"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spacing w:line="360" w:lineRule="auto"/>
        <w:jc w:val="center"/>
        <w:outlineLvl w:val="0"/>
        <w:rPr>
          <w:rFonts w:hint="eastAsia"/>
          <w:b/>
          <w:sz w:val="44"/>
          <w:szCs w:val="44"/>
          <w:highlight w:val="none"/>
        </w:rPr>
      </w:pP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1"/>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投资者进行投资时，应严格遵守反洗钱相关法规的规定，切实履行反洗钱及反恐怖融资义务。</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sz w:val="24"/>
          <w:highlight w:val="none"/>
        </w:rPr>
        <w:t xml:space="preserve">。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w:t>
      </w:r>
      <w:r>
        <w:rPr>
          <w:rFonts w:hint="eastAsia" w:ascii="宋体" w:hAnsi="宋体"/>
          <w:sz w:val="24"/>
          <w:highlight w:val="none"/>
          <w:lang w:val="en-US" w:eastAsia="zh-CN"/>
        </w:rPr>
        <w:t>在</w:t>
      </w:r>
      <w:r>
        <w:rPr>
          <w:rFonts w:hint="eastAsia" w:ascii="宋体" w:hAnsi="宋体"/>
          <w:sz w:val="24"/>
          <w:highlight w:val="none"/>
        </w:rPr>
        <w:t>理财计划销售文件</w:t>
      </w:r>
      <w:r>
        <w:rPr>
          <w:rFonts w:hint="eastAsia" w:ascii="宋体" w:hAnsi="宋体"/>
          <w:sz w:val="24"/>
          <w:highlight w:val="none"/>
          <w:lang w:val="en-US" w:eastAsia="zh-CN"/>
        </w:rPr>
        <w:t>中授权的</w:t>
      </w:r>
      <w:r>
        <w:rPr>
          <w:rFonts w:hint="eastAsia" w:ascii="宋体" w:hAnsi="宋体"/>
          <w:sz w:val="24"/>
          <w:highlight w:val="none"/>
        </w:rPr>
        <w:t>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1"/>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eastAsia="zh-CN"/>
        </w:rPr>
        <w:t>销售机构或</w:t>
      </w:r>
      <w:r>
        <w:rPr>
          <w:rFonts w:hint="eastAsia" w:ascii="宋体" w:hAnsi="宋体"/>
          <w:sz w:val="24"/>
          <w:highlight w:val="none"/>
        </w:rPr>
        <w:t>管理人所在地人民法院司法裁决。诉讼期间，未涉及争议的条款仍需继续履行。</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76"/>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本协议书以纸质书面形式订立的，自投资者签字和销售机构代表管理人签署盖章之后立即生效。协议一式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1"/>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sz w:val="24"/>
          <w:highlight w:val="none"/>
        </w:rPr>
      </w:pPr>
    </w:p>
    <w:p>
      <w:pPr>
        <w:spacing w:line="360" w:lineRule="auto"/>
        <w:ind w:firstLine="480" w:firstLineChars="200"/>
        <w:rPr>
          <w:rFonts w:ascii="宋体" w:hAnsi="宋体" w:cs="宋体"/>
          <w:bCs/>
          <w:color w:val="000000"/>
          <w:sz w:val="24"/>
          <w:highlight w:val="none"/>
        </w:rPr>
      </w:pPr>
    </w:p>
    <w:p>
      <w:pPr>
        <w:pStyle w:val="9"/>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outlineLvl w:val="9"/>
        <w:rPr>
          <w:rFonts w:ascii="宋体" w:hAnsi="宋体" w:cs="宋体"/>
          <w:bCs/>
          <w:color w:val="000000"/>
          <w:sz w:val="24"/>
          <w:highlight w:val="none"/>
        </w:rPr>
      </w:pPr>
    </w:p>
    <w:p>
      <w:pPr>
        <w:spacing w:line="360" w:lineRule="auto"/>
        <w:outlineLvl w:val="9"/>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01版）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（202201版）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8"/>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8"/>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8"/>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2"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销售机构对投资者负有信息保密义务，未经投资者书面许可，乙方不得向任何组织、个人提供或泄露与甲方有关的业务资料及信息，但法律、法规另有规定的除外。</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04"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本协议书以纸质书面形式订立的，自投资者签字和销售机构签章之后立即生效。协议一式</w:t>
      </w:r>
      <w:r>
        <w:rPr>
          <w:rFonts w:hint="eastAsia" w:ascii="宋体" w:hAnsi="宋体" w:eastAsia="宋体" w:cs="黑体"/>
          <w:sz w:val="24"/>
          <w:highlight w:val="none"/>
          <w:lang w:val="en-US" w:eastAsia="zh-CN"/>
        </w:rPr>
        <w:t>叁</w:t>
      </w:r>
      <w:r>
        <w:rPr>
          <w:rFonts w:hint="eastAsia" w:ascii="宋体" w:hAnsi="宋体" w:eastAsia="宋体" w:cs="黑体"/>
          <w:sz w:val="24"/>
          <w:highlight w:val="none"/>
        </w:rPr>
        <w:t>份，投资者</w:t>
      </w:r>
      <w:r>
        <w:rPr>
          <w:rFonts w:hint="eastAsia" w:ascii="宋体" w:hAnsi="宋体" w:eastAsia="宋体" w:cs="黑体"/>
          <w:sz w:val="24"/>
          <w:highlight w:val="none"/>
          <w:lang w:eastAsia="zh-CN"/>
        </w:rPr>
        <w:t>、</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各执壹份，具有同等法律效力。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Wingdings"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bookmarkStart w:id="0" w:name="_GoBack"/>
      <w:bookmarkEnd w:id="0"/>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4">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5">
    <w:nsid w:val="D8D75090"/>
    <w:multiLevelType w:val="singleLevel"/>
    <w:tmpl w:val="D8D75090"/>
    <w:lvl w:ilvl="0" w:tentative="0">
      <w:start w:val="1"/>
      <w:numFmt w:val="decimal"/>
      <w:suff w:val="nothing"/>
      <w:lvlText w:val="（%1）"/>
      <w:lvlJc w:val="left"/>
      <w:rPr>
        <w:rFonts w:hint="default"/>
        <w:b w:val="0"/>
        <w:bCs w:val="0"/>
      </w:rPr>
    </w:lvl>
  </w:abstractNum>
  <w:abstractNum w:abstractNumId="26">
    <w:nsid w:val="DD2251DF"/>
    <w:multiLevelType w:val="singleLevel"/>
    <w:tmpl w:val="DD2251DF"/>
    <w:lvl w:ilvl="0" w:tentative="0">
      <w:start w:val="1"/>
      <w:numFmt w:val="decimal"/>
      <w:suff w:val="nothing"/>
      <w:lvlText w:val="（%1）"/>
      <w:lvlJc w:val="left"/>
      <w:rPr>
        <w:rFonts w:hint="default"/>
        <w:b w:val="0"/>
        <w:bCs w:val="0"/>
      </w:rPr>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21"/>
  </w:num>
  <w:num w:numId="6">
    <w:abstractNumId w:val="82"/>
  </w:num>
  <w:num w:numId="7">
    <w:abstractNumId w:val="37"/>
  </w:num>
  <w:num w:numId="8">
    <w:abstractNumId w:val="83"/>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8"/>
  </w:num>
  <w:num w:numId="22">
    <w:abstractNumId w:val="52"/>
  </w:num>
  <w:num w:numId="23">
    <w:abstractNumId w:val="33"/>
  </w:num>
  <w:num w:numId="24">
    <w:abstractNumId w:val="54"/>
  </w:num>
  <w:num w:numId="25">
    <w:abstractNumId w:val="59"/>
  </w:num>
  <w:num w:numId="26">
    <w:abstractNumId w:val="45"/>
  </w:num>
  <w:num w:numId="27">
    <w:abstractNumId w:val="20"/>
  </w:num>
  <w:num w:numId="28">
    <w:abstractNumId w:val="44"/>
  </w:num>
  <w:num w:numId="29">
    <w:abstractNumId w:val="24"/>
  </w:num>
  <w:num w:numId="30">
    <w:abstractNumId w:val="6"/>
  </w:num>
  <w:num w:numId="31">
    <w:abstractNumId w:val="56"/>
  </w:num>
  <w:num w:numId="32">
    <w:abstractNumId w:val="5"/>
  </w:num>
  <w:num w:numId="33">
    <w:abstractNumId w:val="36"/>
  </w:num>
  <w:num w:numId="34">
    <w:abstractNumId w:val="42"/>
  </w:num>
  <w:num w:numId="35">
    <w:abstractNumId w:val="81"/>
  </w:num>
  <w:num w:numId="36">
    <w:abstractNumId w:val="35"/>
  </w:num>
  <w:num w:numId="37">
    <w:abstractNumId w:val="23"/>
  </w:num>
  <w:num w:numId="38">
    <w:abstractNumId w:val="47"/>
  </w:num>
  <w:num w:numId="39">
    <w:abstractNumId w:val="0"/>
  </w:num>
  <w:num w:numId="40">
    <w:abstractNumId w:val="26"/>
  </w:num>
  <w:num w:numId="41">
    <w:abstractNumId w:val="50"/>
  </w:num>
  <w:num w:numId="42">
    <w:abstractNumId w:val="3"/>
  </w:num>
  <w:num w:numId="43">
    <w:abstractNumId w:val="27"/>
  </w:num>
  <w:num w:numId="44">
    <w:abstractNumId w:val="17"/>
  </w:num>
  <w:num w:numId="45">
    <w:abstractNumId w:val="55"/>
  </w:num>
  <w:num w:numId="46">
    <w:abstractNumId w:val="40"/>
  </w:num>
  <w:num w:numId="47">
    <w:abstractNumId w:val="19"/>
  </w:num>
  <w:num w:numId="48">
    <w:abstractNumId w:val="32"/>
  </w:num>
  <w:num w:numId="49">
    <w:abstractNumId w:val="28"/>
  </w:num>
  <w:num w:numId="50">
    <w:abstractNumId w:val="29"/>
  </w:num>
  <w:num w:numId="51">
    <w:abstractNumId w:val="80"/>
  </w:num>
  <w:num w:numId="52">
    <w:abstractNumId w:val="46"/>
  </w:num>
  <w:num w:numId="53">
    <w:abstractNumId w:val="2"/>
  </w:num>
  <w:num w:numId="54">
    <w:abstractNumId w:val="58"/>
  </w:num>
  <w:num w:numId="55">
    <w:abstractNumId w:val="12"/>
  </w:num>
  <w:num w:numId="56">
    <w:abstractNumId w:val="10"/>
  </w:num>
  <w:num w:numId="57">
    <w:abstractNumId w:val="13"/>
  </w:num>
  <w:num w:numId="58">
    <w:abstractNumId w:val="41"/>
  </w:num>
  <w:num w:numId="59">
    <w:abstractNumId w:val="25"/>
  </w:num>
  <w:num w:numId="60">
    <w:abstractNumId w:val="4"/>
  </w:num>
  <w:num w:numId="61">
    <w:abstractNumId w:val="49"/>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8"/>
  </w:num>
  <w:num w:numId="71">
    <w:abstractNumId w:val="16"/>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5"/>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D5498D"/>
    <w:rsid w:val="01364432"/>
    <w:rsid w:val="01523B8E"/>
    <w:rsid w:val="01BB3F30"/>
    <w:rsid w:val="01E60817"/>
    <w:rsid w:val="01FD241C"/>
    <w:rsid w:val="046C4318"/>
    <w:rsid w:val="05165B63"/>
    <w:rsid w:val="05E05E4D"/>
    <w:rsid w:val="06420CFA"/>
    <w:rsid w:val="06503B59"/>
    <w:rsid w:val="065B6789"/>
    <w:rsid w:val="06F301FD"/>
    <w:rsid w:val="073D5A07"/>
    <w:rsid w:val="0752555A"/>
    <w:rsid w:val="07E45984"/>
    <w:rsid w:val="08160455"/>
    <w:rsid w:val="0828699A"/>
    <w:rsid w:val="087D4021"/>
    <w:rsid w:val="08E1077C"/>
    <w:rsid w:val="09155E8F"/>
    <w:rsid w:val="097E3F67"/>
    <w:rsid w:val="09FE573C"/>
    <w:rsid w:val="0A0C6349"/>
    <w:rsid w:val="0A1347F5"/>
    <w:rsid w:val="0A186EB4"/>
    <w:rsid w:val="0A1F3796"/>
    <w:rsid w:val="0A2A32B9"/>
    <w:rsid w:val="0B8E27E3"/>
    <w:rsid w:val="0BF71AE2"/>
    <w:rsid w:val="0C6F531D"/>
    <w:rsid w:val="0C9C7394"/>
    <w:rsid w:val="0CA6603D"/>
    <w:rsid w:val="0D0B1B00"/>
    <w:rsid w:val="0D3F210A"/>
    <w:rsid w:val="0E36795A"/>
    <w:rsid w:val="0E4A4B6F"/>
    <w:rsid w:val="0E9465E2"/>
    <w:rsid w:val="0EAE473F"/>
    <w:rsid w:val="0EF65480"/>
    <w:rsid w:val="0F3349D0"/>
    <w:rsid w:val="10776FA2"/>
    <w:rsid w:val="10E7087B"/>
    <w:rsid w:val="10FA5463"/>
    <w:rsid w:val="11BA058F"/>
    <w:rsid w:val="12081858"/>
    <w:rsid w:val="12B62B3B"/>
    <w:rsid w:val="12F57C75"/>
    <w:rsid w:val="12F96486"/>
    <w:rsid w:val="13031153"/>
    <w:rsid w:val="13181417"/>
    <w:rsid w:val="135A629F"/>
    <w:rsid w:val="13CF7B8E"/>
    <w:rsid w:val="14B80FF2"/>
    <w:rsid w:val="14C57FED"/>
    <w:rsid w:val="150C5665"/>
    <w:rsid w:val="15485BE1"/>
    <w:rsid w:val="15C56302"/>
    <w:rsid w:val="160940BB"/>
    <w:rsid w:val="1659752C"/>
    <w:rsid w:val="16CE5BE1"/>
    <w:rsid w:val="16E43A7F"/>
    <w:rsid w:val="175F7C56"/>
    <w:rsid w:val="185A3DA1"/>
    <w:rsid w:val="198C4B50"/>
    <w:rsid w:val="19BB4557"/>
    <w:rsid w:val="19DA4F78"/>
    <w:rsid w:val="19F13F4F"/>
    <w:rsid w:val="1A102675"/>
    <w:rsid w:val="1B280245"/>
    <w:rsid w:val="1B581220"/>
    <w:rsid w:val="1B843575"/>
    <w:rsid w:val="1BBE4697"/>
    <w:rsid w:val="1C10756A"/>
    <w:rsid w:val="1C3F0A31"/>
    <w:rsid w:val="1CD6762A"/>
    <w:rsid w:val="1D4D5B7F"/>
    <w:rsid w:val="1D5076C2"/>
    <w:rsid w:val="1D552DD9"/>
    <w:rsid w:val="1DAB6D83"/>
    <w:rsid w:val="1E3173A3"/>
    <w:rsid w:val="1E3D6948"/>
    <w:rsid w:val="1E792E51"/>
    <w:rsid w:val="1F0F5A19"/>
    <w:rsid w:val="1F1D6E1F"/>
    <w:rsid w:val="1F3E7F7D"/>
    <w:rsid w:val="1F51312D"/>
    <w:rsid w:val="1FC9553A"/>
    <w:rsid w:val="204D3B12"/>
    <w:rsid w:val="205A2AB3"/>
    <w:rsid w:val="20914C99"/>
    <w:rsid w:val="20B6224D"/>
    <w:rsid w:val="21025026"/>
    <w:rsid w:val="21036497"/>
    <w:rsid w:val="210648F0"/>
    <w:rsid w:val="21CE3241"/>
    <w:rsid w:val="22A04AF7"/>
    <w:rsid w:val="22A73C8E"/>
    <w:rsid w:val="22D3594B"/>
    <w:rsid w:val="22F12819"/>
    <w:rsid w:val="234F46D7"/>
    <w:rsid w:val="23753F06"/>
    <w:rsid w:val="238E1AAE"/>
    <w:rsid w:val="23DF60A6"/>
    <w:rsid w:val="23EE413A"/>
    <w:rsid w:val="24030B6D"/>
    <w:rsid w:val="24345B9A"/>
    <w:rsid w:val="245517BD"/>
    <w:rsid w:val="2483647E"/>
    <w:rsid w:val="256F076F"/>
    <w:rsid w:val="25AF7681"/>
    <w:rsid w:val="26820AF7"/>
    <w:rsid w:val="268D46D2"/>
    <w:rsid w:val="27947E62"/>
    <w:rsid w:val="27994EFA"/>
    <w:rsid w:val="27EB2573"/>
    <w:rsid w:val="290464A2"/>
    <w:rsid w:val="292668E3"/>
    <w:rsid w:val="29361BBD"/>
    <w:rsid w:val="2A124404"/>
    <w:rsid w:val="2A1B5D68"/>
    <w:rsid w:val="2A5975B6"/>
    <w:rsid w:val="2A991D32"/>
    <w:rsid w:val="2AB92324"/>
    <w:rsid w:val="2AD6555A"/>
    <w:rsid w:val="2B376BE0"/>
    <w:rsid w:val="2B5B0398"/>
    <w:rsid w:val="2C1B1E9D"/>
    <w:rsid w:val="2CAB68C5"/>
    <w:rsid w:val="2CE251F5"/>
    <w:rsid w:val="2E354AE5"/>
    <w:rsid w:val="2EBC6D03"/>
    <w:rsid w:val="2F196945"/>
    <w:rsid w:val="2F1F666C"/>
    <w:rsid w:val="2FD32A37"/>
    <w:rsid w:val="30111202"/>
    <w:rsid w:val="30551FFC"/>
    <w:rsid w:val="311F702A"/>
    <w:rsid w:val="31331DE0"/>
    <w:rsid w:val="31A82883"/>
    <w:rsid w:val="320E3E15"/>
    <w:rsid w:val="3269355E"/>
    <w:rsid w:val="32B15B31"/>
    <w:rsid w:val="32C937E9"/>
    <w:rsid w:val="333F6AA7"/>
    <w:rsid w:val="34492A36"/>
    <w:rsid w:val="3480359E"/>
    <w:rsid w:val="34BE4ED5"/>
    <w:rsid w:val="35476F5E"/>
    <w:rsid w:val="354D3F58"/>
    <w:rsid w:val="359A216E"/>
    <w:rsid w:val="35CB65AD"/>
    <w:rsid w:val="36631FD8"/>
    <w:rsid w:val="36C419F2"/>
    <w:rsid w:val="36E72D9B"/>
    <w:rsid w:val="36FD7080"/>
    <w:rsid w:val="379F2ED6"/>
    <w:rsid w:val="37CA172C"/>
    <w:rsid w:val="37DC2068"/>
    <w:rsid w:val="38071350"/>
    <w:rsid w:val="38224FD0"/>
    <w:rsid w:val="38E31C93"/>
    <w:rsid w:val="39775E90"/>
    <w:rsid w:val="39AC0F1B"/>
    <w:rsid w:val="39B95084"/>
    <w:rsid w:val="3A3E2041"/>
    <w:rsid w:val="3B131EF6"/>
    <w:rsid w:val="3B490D86"/>
    <w:rsid w:val="3BD74075"/>
    <w:rsid w:val="3C2F2290"/>
    <w:rsid w:val="3DBE3B98"/>
    <w:rsid w:val="3EA67C14"/>
    <w:rsid w:val="3EAD1B36"/>
    <w:rsid w:val="3F056B9E"/>
    <w:rsid w:val="3F354A62"/>
    <w:rsid w:val="3FB01289"/>
    <w:rsid w:val="3FE233B8"/>
    <w:rsid w:val="3FF54C55"/>
    <w:rsid w:val="40181F9C"/>
    <w:rsid w:val="406370BC"/>
    <w:rsid w:val="40DF388D"/>
    <w:rsid w:val="40FB7670"/>
    <w:rsid w:val="41B60000"/>
    <w:rsid w:val="423C06E2"/>
    <w:rsid w:val="42815397"/>
    <w:rsid w:val="42C94634"/>
    <w:rsid w:val="42DE5F5C"/>
    <w:rsid w:val="437C10A8"/>
    <w:rsid w:val="45540446"/>
    <w:rsid w:val="458F3937"/>
    <w:rsid w:val="459F641E"/>
    <w:rsid w:val="45A93DC9"/>
    <w:rsid w:val="45BB5620"/>
    <w:rsid w:val="45EC58A2"/>
    <w:rsid w:val="45F127ED"/>
    <w:rsid w:val="46263D02"/>
    <w:rsid w:val="46CD66A0"/>
    <w:rsid w:val="472803B7"/>
    <w:rsid w:val="478411E4"/>
    <w:rsid w:val="48021DEB"/>
    <w:rsid w:val="488B59A4"/>
    <w:rsid w:val="48CC5267"/>
    <w:rsid w:val="494502E1"/>
    <w:rsid w:val="494C4325"/>
    <w:rsid w:val="49BB2867"/>
    <w:rsid w:val="4A010AC9"/>
    <w:rsid w:val="4A7F0ADF"/>
    <w:rsid w:val="4AA612F0"/>
    <w:rsid w:val="4B0D3113"/>
    <w:rsid w:val="4C1A730D"/>
    <w:rsid w:val="4C6B0DDA"/>
    <w:rsid w:val="4C6E1306"/>
    <w:rsid w:val="4CA76C4F"/>
    <w:rsid w:val="4CC946ED"/>
    <w:rsid w:val="4CF979F4"/>
    <w:rsid w:val="4D8C0BC8"/>
    <w:rsid w:val="4E186164"/>
    <w:rsid w:val="4E247E9A"/>
    <w:rsid w:val="4E2F1033"/>
    <w:rsid w:val="4E8274B0"/>
    <w:rsid w:val="4EA65BC4"/>
    <w:rsid w:val="4EF420E3"/>
    <w:rsid w:val="4EFC1B31"/>
    <w:rsid w:val="4F074907"/>
    <w:rsid w:val="4F2836A5"/>
    <w:rsid w:val="4F4F3963"/>
    <w:rsid w:val="4FF363B3"/>
    <w:rsid w:val="501216FC"/>
    <w:rsid w:val="50B73634"/>
    <w:rsid w:val="51434E1B"/>
    <w:rsid w:val="51504FE6"/>
    <w:rsid w:val="54E90CED"/>
    <w:rsid w:val="54E91D9C"/>
    <w:rsid w:val="55A47BB4"/>
    <w:rsid w:val="5625142C"/>
    <w:rsid w:val="56B44788"/>
    <w:rsid w:val="57141583"/>
    <w:rsid w:val="57BB6218"/>
    <w:rsid w:val="57FF3AAA"/>
    <w:rsid w:val="58DD2EEE"/>
    <w:rsid w:val="58E96C7A"/>
    <w:rsid w:val="59263C31"/>
    <w:rsid w:val="59AD3C67"/>
    <w:rsid w:val="59E832FB"/>
    <w:rsid w:val="5A4B183F"/>
    <w:rsid w:val="5B0D630F"/>
    <w:rsid w:val="5B337E6A"/>
    <w:rsid w:val="5B602150"/>
    <w:rsid w:val="5B9919B4"/>
    <w:rsid w:val="5B9E0365"/>
    <w:rsid w:val="5BB70148"/>
    <w:rsid w:val="5BF22FE4"/>
    <w:rsid w:val="5C087E2C"/>
    <w:rsid w:val="5C3C3DDC"/>
    <w:rsid w:val="5C4340F5"/>
    <w:rsid w:val="5C7661EC"/>
    <w:rsid w:val="5D160516"/>
    <w:rsid w:val="5D713BC5"/>
    <w:rsid w:val="5D7D0F36"/>
    <w:rsid w:val="5DB61BFF"/>
    <w:rsid w:val="5DEF454B"/>
    <w:rsid w:val="5E076A27"/>
    <w:rsid w:val="5E5A6C63"/>
    <w:rsid w:val="5F3C6712"/>
    <w:rsid w:val="5F4B58F3"/>
    <w:rsid w:val="5FA450BB"/>
    <w:rsid w:val="6053481F"/>
    <w:rsid w:val="60553A8D"/>
    <w:rsid w:val="606E0DED"/>
    <w:rsid w:val="60AB2000"/>
    <w:rsid w:val="60F2599C"/>
    <w:rsid w:val="61C97391"/>
    <w:rsid w:val="61D85325"/>
    <w:rsid w:val="62207D65"/>
    <w:rsid w:val="623865C7"/>
    <w:rsid w:val="62860AAA"/>
    <w:rsid w:val="628B7CEE"/>
    <w:rsid w:val="629D5796"/>
    <w:rsid w:val="62B8299F"/>
    <w:rsid w:val="63026EBF"/>
    <w:rsid w:val="63CC3AAB"/>
    <w:rsid w:val="63FA4C5C"/>
    <w:rsid w:val="64102A52"/>
    <w:rsid w:val="64BC6713"/>
    <w:rsid w:val="658F2432"/>
    <w:rsid w:val="66F54088"/>
    <w:rsid w:val="671E2162"/>
    <w:rsid w:val="67C2281F"/>
    <w:rsid w:val="680C1A56"/>
    <w:rsid w:val="684F0C72"/>
    <w:rsid w:val="68D8721E"/>
    <w:rsid w:val="6A1345EC"/>
    <w:rsid w:val="6A831914"/>
    <w:rsid w:val="6B610D05"/>
    <w:rsid w:val="6BAC21D5"/>
    <w:rsid w:val="6CED1CB3"/>
    <w:rsid w:val="6D3B42C3"/>
    <w:rsid w:val="6D5A3D63"/>
    <w:rsid w:val="6D9A4080"/>
    <w:rsid w:val="6E7E575F"/>
    <w:rsid w:val="6EC27507"/>
    <w:rsid w:val="6EF15941"/>
    <w:rsid w:val="6F626039"/>
    <w:rsid w:val="6F926461"/>
    <w:rsid w:val="6F9921A1"/>
    <w:rsid w:val="6FA453FA"/>
    <w:rsid w:val="70CD56C5"/>
    <w:rsid w:val="71866167"/>
    <w:rsid w:val="71E00C32"/>
    <w:rsid w:val="71EA2A00"/>
    <w:rsid w:val="720B7A64"/>
    <w:rsid w:val="720F6016"/>
    <w:rsid w:val="722D6F9E"/>
    <w:rsid w:val="73407EBD"/>
    <w:rsid w:val="73932176"/>
    <w:rsid w:val="73EF4563"/>
    <w:rsid w:val="74037319"/>
    <w:rsid w:val="74175679"/>
    <w:rsid w:val="744124AA"/>
    <w:rsid w:val="74664F47"/>
    <w:rsid w:val="756E538F"/>
    <w:rsid w:val="75D950C9"/>
    <w:rsid w:val="76F41323"/>
    <w:rsid w:val="77100360"/>
    <w:rsid w:val="778222EA"/>
    <w:rsid w:val="778B4219"/>
    <w:rsid w:val="77A30DC4"/>
    <w:rsid w:val="77E0572E"/>
    <w:rsid w:val="77ED4104"/>
    <w:rsid w:val="78EF4372"/>
    <w:rsid w:val="79771B00"/>
    <w:rsid w:val="7980282D"/>
    <w:rsid w:val="798F6426"/>
    <w:rsid w:val="79B94653"/>
    <w:rsid w:val="7ACA272A"/>
    <w:rsid w:val="7B0E7C70"/>
    <w:rsid w:val="7B2E004A"/>
    <w:rsid w:val="7B76641B"/>
    <w:rsid w:val="7BBF1397"/>
    <w:rsid w:val="7C38063D"/>
    <w:rsid w:val="7C5B2182"/>
    <w:rsid w:val="7CED52DC"/>
    <w:rsid w:val="7E4E0DB1"/>
    <w:rsid w:val="7E6F339A"/>
    <w:rsid w:val="7E810662"/>
    <w:rsid w:val="7ED67E61"/>
    <w:rsid w:val="7F590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0"/>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1"/>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2"/>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Style w:val="11"/>
      <w:tblLayout w:type="fixed"/>
      <w:tblCellMar>
        <w:top w:w="0" w:type="dxa"/>
        <w:left w:w="108" w:type="dxa"/>
        <w:bottom w:w="0" w:type="dxa"/>
        <w:right w:w="108" w:type="dxa"/>
      </w:tblCellMar>
    </w:tblPr>
  </w:style>
  <w:style w:type="paragraph" w:styleId="5">
    <w:name w:val="annotation text"/>
    <w:basedOn w:val="1"/>
    <w:link w:val="19"/>
    <w:uiPriority w:val="0"/>
    <w:pPr>
      <w:jc w:val="left"/>
    </w:pPr>
  </w:style>
  <w:style w:type="paragraph" w:styleId="6">
    <w:name w:val="Balloon Text"/>
    <w:basedOn w:val="1"/>
    <w:link w:val="23"/>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4"/>
    <w:uiPriority w:val="0"/>
    <w:rPr>
      <w:b/>
      <w:bCs/>
    </w:rPr>
  </w:style>
  <w:style w:type="table" w:styleId="12">
    <w:name w:val="Table Grid"/>
    <w:basedOn w:val="11"/>
    <w:unhideWhenUsed/>
    <w:uiPriority w:val="9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paragraph" w:customStyle="1" w:styleId="16">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color w:val="000000"/>
      <w:sz w:val="24"/>
      <w:szCs w:val="24"/>
      <w:lang w:val="en-US" w:eastAsia="zh-CN" w:bidi="ar-SA"/>
    </w:rPr>
  </w:style>
  <w:style w:type="paragraph" w:customStyle="1" w:styleId="18">
    <w:name w:val="List Paragraph"/>
    <w:basedOn w:val="1"/>
    <w:unhideWhenUsed/>
    <w:uiPriority w:val="99"/>
    <w:pPr>
      <w:ind w:firstLine="420" w:firstLineChars="200"/>
    </w:pPr>
  </w:style>
  <w:style w:type="character" w:customStyle="1" w:styleId="19">
    <w:name w:val="批注文字 Char"/>
    <w:link w:val="5"/>
    <w:uiPriority w:val="0"/>
    <w:rPr>
      <w:rFonts w:ascii="Calibri" w:hAnsi="Calibri" w:cs="黑体"/>
      <w:kern w:val="2"/>
      <w:sz w:val="21"/>
      <w:szCs w:val="24"/>
    </w:rPr>
  </w:style>
  <w:style w:type="character" w:customStyle="1" w:styleId="20">
    <w:name w:val="标题 1 Char"/>
    <w:link w:val="2"/>
    <w:uiPriority w:val="0"/>
    <w:rPr>
      <w:rFonts w:eastAsia="宋体"/>
      <w:b/>
      <w:kern w:val="44"/>
      <w:sz w:val="44"/>
    </w:rPr>
  </w:style>
  <w:style w:type="character" w:customStyle="1" w:styleId="21">
    <w:name w:val="标题 2 Char"/>
    <w:link w:val="3"/>
    <w:uiPriority w:val="0"/>
    <w:rPr>
      <w:rFonts w:ascii="Arial" w:hAnsi="Arial" w:eastAsia="宋体"/>
      <w:b/>
      <w:sz w:val="24"/>
    </w:rPr>
  </w:style>
  <w:style w:type="character" w:customStyle="1" w:styleId="22">
    <w:name w:val="标题 3 Char"/>
    <w:link w:val="4"/>
    <w:uiPriority w:val="0"/>
    <w:rPr>
      <w:rFonts w:hAnsi="Calibri" w:eastAsia="宋体"/>
      <w:b/>
      <w:sz w:val="24"/>
    </w:rPr>
  </w:style>
  <w:style w:type="character" w:customStyle="1" w:styleId="23">
    <w:name w:val="批注框文本 Char"/>
    <w:link w:val="6"/>
    <w:uiPriority w:val="0"/>
    <w:rPr>
      <w:rFonts w:ascii="Calibri" w:hAnsi="Calibri" w:cs="黑体"/>
      <w:kern w:val="2"/>
      <w:sz w:val="18"/>
      <w:szCs w:val="18"/>
    </w:rPr>
  </w:style>
  <w:style w:type="character" w:customStyle="1" w:styleId="24">
    <w:name w:val="批注主题 Char"/>
    <w:link w:val="10"/>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36582</Words>
  <Characters>38974</Characters>
  <Lines>1</Lines>
  <Paragraphs>1</Paragraphs>
  <TotalTime>0</TotalTime>
  <ScaleCrop>false</ScaleCrop>
  <LinksUpToDate>false</LinksUpToDate>
  <CharactersWithSpaces>39199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2025-08-11T07:42:13Z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