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D80E27" w:rsidP="00D80E27">
      <w:pPr>
        <w:jc w:val="center"/>
        <w:rPr>
          <w:rFonts w:ascii="宋体" w:eastAsia="宋体" w:hAnsi="宋体"/>
          <w:b/>
          <w:sz w:val="32"/>
          <w:szCs w:val="20"/>
        </w:rPr>
      </w:pPr>
      <w:bookmarkStart w:id="0" w:name="_Toc379618105"/>
    </w:p>
    <w:p w:rsidR="00D80E27" w:rsidP="00D80E27">
      <w:pPr>
        <w:adjustRightInd w:val="0"/>
        <w:snapToGrid w:val="0"/>
        <w:spacing w:line="460" w:lineRule="exact"/>
        <w:jc w:val="center"/>
        <w:rPr>
          <w:rFonts w:ascii="Times New Roman" w:eastAsia="方正楷体简体" w:hAnsi="Times New Roman"/>
          <w:sz w:val="24"/>
        </w:rPr>
      </w:pPr>
    </w:p>
    <w:p w:rsidR="00D80E27" w:rsidP="00D80E27"/>
    <w:p w:rsidR="00D80E27" w:rsidP="00D80E27">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杭银理财幸福99季添益1912期理财</w:t>
      </w:r>
    </w:p>
    <w:p w:rsidR="00D80E27" w:rsidP="00D80E27">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2025</w:t>
      </w:r>
      <w:r>
        <w:rPr>
          <w:rFonts w:ascii="仿宋_GB2312" w:eastAsia="仿宋_GB2312" w:hAnsi="仿宋_GB2312" w:cs="仿宋_GB2312"/>
          <w:b/>
          <w:sz w:val="44"/>
        </w:rPr>
        <w:t>年第</w:t>
      </w:r>
      <w:r>
        <w:rPr>
          <w:rFonts w:ascii="仿宋_GB2312" w:eastAsia="仿宋_GB2312" w:hAnsi="仿宋_GB2312" w:cs="仿宋_GB2312"/>
          <w:b/>
          <w:sz w:val="44"/>
        </w:rPr>
        <w:t>2</w:t>
      </w:r>
      <w:r>
        <w:rPr>
          <w:rFonts w:ascii="仿宋_GB2312" w:eastAsia="仿宋_GB2312" w:hAnsi="仿宋_GB2312" w:cs="仿宋_GB2312"/>
          <w:b/>
          <w:sz w:val="44"/>
        </w:rPr>
        <w:t>季度报告</w:t>
      </w:r>
    </w:p>
    <w:p w:rsidR="00D80E27" w:rsidP="00D80E27">
      <w:pPr>
        <w:jc w:val="center"/>
        <w:rPr>
          <w:rFonts w:ascii="宋体" w:eastAsia="宋体" w:hAnsi="宋体"/>
          <w:color w:val="0000FF"/>
          <w:kern w:val="0"/>
          <w:sz w:val="18"/>
          <w:szCs w:val="20"/>
        </w:rPr>
      </w:pPr>
    </w:p>
    <w:p w:rsidR="00D80E27" w:rsidP="00D80E27">
      <w:pPr>
        <w:jc w:val="center"/>
        <w:rPr>
          <w:rFonts w:ascii="Times New Roman" w:eastAsia="宋体" w:hAnsi="Times New Roman"/>
          <w:sz w:val="24"/>
        </w:rPr>
      </w:pPr>
    </w:p>
    <w:p w:rsidR="00D80E27" w:rsidP="00D80E27">
      <w:pPr>
        <w:jc w:val="center"/>
        <w:rPr>
          <w:rFonts w:eastAsia="宋体"/>
          <w:sz w:val="24"/>
        </w:rPr>
      </w:pPr>
    </w:p>
    <w:p w:rsidR="00D80E27" w:rsidP="00D80E27">
      <w:pPr>
        <w:jc w:val="center"/>
        <w:rPr>
          <w:rFonts w:eastAsia="宋体"/>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产品管理人：</w:t>
      </w:r>
      <w:r>
        <w:rPr>
          <w:rFonts w:ascii="仿宋" w:eastAsia="仿宋" w:hAnsi="仿宋" w:cs="仿宋"/>
          <w:sz w:val="24"/>
        </w:rPr>
        <w:t>杭银理财有限责任公司</w:t>
      </w:r>
    </w:p>
    <w:p w:rsidR="00D80E27" w:rsidP="00D80E27">
      <w:pPr>
        <w:jc w:val="center"/>
        <w:rPr>
          <w:rFonts w:ascii="仿宋" w:eastAsia="仿宋" w:hAnsi="仿宋"/>
          <w:sz w:val="24"/>
        </w:rPr>
      </w:pPr>
      <w:r>
        <w:rPr>
          <w:rFonts w:ascii="仿宋" w:eastAsia="仿宋" w:hAnsi="仿宋" w:hint="eastAsia"/>
          <w:sz w:val="24"/>
        </w:rPr>
        <w:t>产品托管人：</w:t>
      </w:r>
      <w:r>
        <w:rPr>
          <w:rFonts w:ascii="仿宋" w:eastAsia="仿宋" w:hAnsi="仿宋" w:cs="仿宋"/>
          <w:sz w:val="24"/>
        </w:rPr>
        <w:t>杭州银行股份有限公司</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2025年7月11日</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宋体" w:eastAsia="宋体" w:hAnsi="宋体"/>
        </w:rPr>
      </w:pPr>
    </w:p>
    <w:p w:rsidR="00D80E27" w:rsidP="00D80E27">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2025年6月30日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2025年4月1日</w:t>
            </w:r>
            <w:r>
              <w:rPr>
                <w:rFonts w:ascii="仿宋" w:eastAsia="仿宋" w:hAnsi="仿宋" w:cs="仿宋" w:hint="eastAsia"/>
                <w:color w:val="404040"/>
                <w:kern w:val="0"/>
                <w:sz w:val="24"/>
              </w:rPr>
              <w:t>起至</w:t>
            </w:r>
            <w:r>
              <w:rPr>
                <w:rFonts w:ascii="仿宋" w:eastAsia="仿宋" w:hAnsi="仿宋" w:cs="仿宋"/>
                <w:color w:val="404040"/>
                <w:sz w:val="24"/>
              </w:rPr>
              <w:t>2025年6月30日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杭银理财幸福99季添益1912期理财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TYG3M1912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2019年8月14日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1.65-2.30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w:t>
            </w:r>
            <w:r w:rsidR="002511E7">
              <w:rPr>
                <w:rFonts w:ascii="仿宋" w:eastAsia="仿宋" w:hAnsi="仿宋" w:cs="仿宋" w:hint="eastAsia"/>
                <w:sz w:val="24"/>
              </w:rPr>
              <w:t>元</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1,142,969,707.93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r>
        <w:rPr>
          <w:rFonts w:ascii="仿宋" w:eastAsia="仿宋" w:hAnsi="仿宋" w:cs="仿宋"/>
          <w:sz w:val="24"/>
        </w:rPr>
        <w:t>元</w:t>
      </w:r>
      <w:r>
        <w:rPr>
          <w:rFonts w:ascii="仿宋" w:eastAsia="仿宋" w:hAnsi="仿宋" w:cs="仿宋"/>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2025年4月1日</w:t>
            </w:r>
            <w:r>
              <w:rPr>
                <w:rFonts w:ascii="仿宋" w:eastAsia="仿宋" w:hAnsi="仿宋" w:cs="仿宋" w:hint="eastAsia"/>
                <w:color w:val="000000"/>
                <w:kern w:val="0"/>
                <w:sz w:val="24"/>
              </w:rPr>
              <w:t>-</w:t>
            </w:r>
            <w:r>
              <w:rPr>
                <w:rFonts w:ascii="仿宋" w:eastAsia="仿宋" w:hAnsi="仿宋" w:cs="仿宋"/>
                <w:color w:val="000000"/>
                <w:sz w:val="24"/>
              </w:rPr>
              <w:t>2025年6月30日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1,142,969,707.93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935,552,901.95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1.2217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1.2217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1.2203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1.2203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684,633,044.41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1.2229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1.2229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221,692,074.15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1.2244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1.2244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236,644,589.37</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季添益1912期</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3.50</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2.91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季添益1912期B款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3.49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2.94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2.62</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2.70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季添益1912期C款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3.00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2.75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3.81</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计算公式为：（当前累计净值-N天前累计净值）/N天前单位净值/N*365*100%，N的取值为：近一个月：30天；近三个月：90天；近六个月：180天；近一年：365天；成立以来：当前日期-成立日；</w:t>
      </w:r>
      <w:r>
        <w:rPr>
          <w:rFonts w:ascii="仿宋" w:eastAsia="仿宋" w:hAnsi="仿宋" w:cs="仿宋" w:hint="eastAsia"/>
          <w:sz w:val="24"/>
        </w:rPr>
        <w:br/>
        <w:t>*产品过往业绩相关数据已经产品托管人复核；</w:t>
      </w:r>
    </w:p>
    <w:p w:rsidR="00701460">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hint="eastAsia"/>
          <w:sz w:val="24"/>
        </w:rPr>
        <w:t>理财产品</w:t>
      </w:r>
      <w:r w:rsidR="001F0D85">
        <w:rPr>
          <w:rFonts w:ascii="仿宋" w:eastAsia="仿宋" w:hAnsi="仿宋" w:hint="eastAsia"/>
          <w:sz w:val="24"/>
        </w:rPr>
        <w:t>过往业绩不代表其未来的表现及收益，理财非存款，市场有风险，投资须</w:t>
      </w:r>
      <w:bookmarkStart w:id="7" w:name="_GoBack"/>
      <w:bookmarkEnd w:id="7"/>
      <w:r>
        <w:rPr>
          <w:rFonts w:ascii="仿宋" w:eastAsia="仿宋" w:hAnsi="仿宋" w:hint="eastAsia"/>
          <w:sz w:val="24"/>
        </w:rPr>
        <w:t>谨慎。</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§4  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4.1 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二季度以来，受关税冲突反复、资金面宽松、避险情绪升温等因素影响，债券收益率整体呈下行趋势，利率债收益率在4月初快速下行后维持低位震荡，信用债在二季度整体震荡下行，信用利差进一步压缩。央行在5月下调公开市场7天期逆回购操作利率0.1个百分点，下调金融机构存款准备金率0.5个百分点，并在二季度货币政策例会明确“延续适度宽松”的货币政策，并提到“发挥总量与结构双重功能，加强货币财政协同，保持流动性合理充裕，推动社会融资成本下降”。受此影响，二季度银行间融资成本下降明显。整体而言，目前国内基本面仍然较弱，物价低位运行，需通过政策协同改善预期，资产利率中枢仍在低位震荡，资产荒和货币政策宽松的债市主线逻辑依旧存在。从收益率来看，截至6月30日，10年国债收益率1.65%，较一季度末下行17bp，1年期国股存单收益率1.63%，较一季度末下行26bp，3年期AA+城投债收益率1.90%，较一季度末下行18bp，3年期AAA银行二级资本债收益率1.84%，较一季度末下行20bp。本产品主要配置固收类资产，债券部分以信用债为主，并且通过利率债、商业银行二级资本债、公募基金等把握交易机会，增厚产品收益。综合运用杠杆策略、久期策略、交易策略等，产品净值收益整体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2025年三季度，从基本面来看，二季度以来PMI、工业增加值边际走弱，显示当前基本面复苏乏力。受到贸易摩擦持续，内需依旧相对疲弱，消费修复缓慢等因素的影响，地产投资和出口预计较弱。在基本面没有大幅走强之前，叠加宽松的货币政策，预计对债市仍偏利好。此外，6月以来，受到资金利率下行、抢出口效应逐步弱化等利多因素影响，债市做多胜率提升。三季度债市预计仍处于资产荒的大背景下，但需要警惕短期供给放量带来的调整风险。我们预期三季度债券收益率整体保持低位震荡偏多。策略上，根据负债、市场调整杠杆、久期等，适时把握利率债、中高等级债券、公募基金等的阶段性交易机会，同时通过择券配置中短久期信用债获取票息收益。</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主要直接或者间接投资于固定收益类资产（包括债券类资产、非标准化债权类资产）及权益类资产。产品所投资的债券资产流动性状况良好，所投资非标准化债权资产（如有）期限与产品单个运作周期匹配，正常情况下能够及时变现资产，筹集资金，满足本产品的投资者赎回需求或其他支付要求。产品所投资资管计划运作规范，能够通过申赎安排满足本产品流动性需求。权益持仓精选流动性较好品种，确保本产品资产的变现能力与投资者赎回需求匹配。</w:t>
        <w:cr/>
        <w:t xml:space="preserve">    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4.4 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rsidTr="009F3208">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vAlign w:val="center"/>
          </w:tcPr>
          <w:p w:rsidR="0014030B" w:rsidP="009F3208">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18.83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31.86</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72.26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67.90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他行存款(516001-000109)</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58,312,350.11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他行存款(P27M-000306)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43,582,893.03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20通新02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42,051,733.42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3.68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江苏银行股份有限公司</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34,785,272.06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21新昌01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30,940,753.43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24武进绿建PPN001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30,921,525.21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21江门滨江PPN002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23,366,522.33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21交通银行二级</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21,016,500.00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22天山02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20,757,444.19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22江开05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20,648,312.33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1.81</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sz w:val="24"/>
              </w:rPr>
              <w:t>元</w:t>
            </w:r>
            <w:r>
              <w:rPr>
                <w:rFonts w:ascii="仿宋" w:eastAsia="仿宋" w:hAnsi="仿宋" w:cs="仿宋"/>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844,866,564.99</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935,552,901.95</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color w:val="000000"/>
                <w:sz w:val="24"/>
              </w:rPr>
              <w:t>元</w:t>
            </w:r>
            <w:r>
              <w:rPr>
                <w:rFonts w:ascii="仿宋" w:eastAsia="仿宋" w:hAnsi="仿宋" w:cs="仿宋"/>
                <w:color w:val="000000"/>
                <w:sz w:val="24"/>
              </w:rPr>
              <w:t>）</w:t>
            </w:r>
          </w:p>
        </w:tc>
      </w:tr>
      <w:tr>
        <w:tblPrEx>
          <w:tblW w:w="8994" w:type="dxa"/>
          <w:tblInd w:w="67" w:type="dxa"/>
          <w:tblLayout w:type="fixed"/>
          <w:tblLook w:val="04A0"/>
        </w:tblPrEx>
        <w:trPr>
          <w:trHeight w:val="187"/>
        </w:trPr>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64,071.23</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杭银理财有限责任公司幸福99季添益开放式第1912期</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3301040160015309811-351912</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2025年7月11日</w:t>
      </w:r>
    </w:p>
    <w:p w:rsidR="0014030B"/>
    <w:p w:rsidR="0014030B"/>
    <w:sectPr>
      <w:headerReference w:type="default" r:id="rId6"/>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757E3"/>
    <w:rsid w:val="0018698C"/>
    <w:rsid w:val="00193057"/>
    <w:rsid w:val="001F0D85"/>
    <w:rsid w:val="001F6316"/>
    <w:rsid w:val="00205A23"/>
    <w:rsid w:val="002511E7"/>
    <w:rsid w:val="00260BF6"/>
    <w:rsid w:val="002F014C"/>
    <w:rsid w:val="003D3797"/>
    <w:rsid w:val="004458C8"/>
    <w:rsid w:val="00461C5A"/>
    <w:rsid w:val="00475B00"/>
    <w:rsid w:val="005A6D80"/>
    <w:rsid w:val="005F727E"/>
    <w:rsid w:val="006C1F4E"/>
    <w:rsid w:val="006E38F7"/>
    <w:rsid w:val="00701460"/>
    <w:rsid w:val="00761119"/>
    <w:rsid w:val="007D72E4"/>
    <w:rsid w:val="00815E4F"/>
    <w:rsid w:val="0082523D"/>
    <w:rsid w:val="008444DB"/>
    <w:rsid w:val="00886687"/>
    <w:rsid w:val="00990402"/>
    <w:rsid w:val="009F3208"/>
    <w:rsid w:val="00AA1E04"/>
    <w:rsid w:val="00AB1208"/>
    <w:rsid w:val="00B43FDA"/>
    <w:rsid w:val="00BC29D8"/>
    <w:rsid w:val="00C30F1B"/>
    <w:rsid w:val="00CA2B83"/>
    <w:rsid w:val="00CE5B30"/>
    <w:rsid w:val="00D80E27"/>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05C7737"/>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9182B-60BA-445D-BE93-70D7542E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28</cp:revision>
  <dcterms:created xsi:type="dcterms:W3CDTF">2023-04-14T06:44:00Z</dcterms:created>
  <dcterms:modified xsi:type="dcterms:W3CDTF">2024-11-11T11:26:00Z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