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16" w:rsidRDefault="00820D16" w:rsidP="007016D5">
      <w:pPr>
        <w:spacing w:before="240" w:afterLines="30" w:line="360" w:lineRule="auto"/>
        <w:jc w:val="center"/>
      </w:pPr>
    </w:p>
    <w:p w:rsidR="00820D16" w:rsidRDefault="00820D16" w:rsidP="007016D5">
      <w:pPr>
        <w:spacing w:before="240" w:afterLines="30" w:line="360" w:lineRule="auto"/>
        <w:jc w:val="center"/>
      </w:pPr>
    </w:p>
    <w:p w:rsidR="00820D16" w:rsidRDefault="00820D16" w:rsidP="007016D5">
      <w:pPr>
        <w:spacing w:before="240" w:afterLines="30" w:line="360" w:lineRule="auto"/>
        <w:jc w:val="center"/>
      </w:pPr>
    </w:p>
    <w:p w:rsidR="00820D16" w:rsidRDefault="004A557F" w:rsidP="007016D5">
      <w:pPr>
        <w:spacing w:before="240" w:afterLines="30" w:line="360" w:lineRule="auto"/>
        <w:jc w:val="center"/>
        <w:rPr>
          <w:rFonts w:ascii="方正黑体简体" w:eastAsia="方正黑体简体"/>
          <w:sz w:val="36"/>
        </w:rPr>
      </w:pPr>
      <w:r>
        <w:rPr>
          <w:rFonts w:ascii="方正黑体简体" w:eastAsia="方正黑体简体"/>
          <w:sz w:val="36"/>
        </w:rPr>
        <w:t>南银理财鼎瑞悦稳（最低持有7天）2号公募人民币理财产品</w:t>
      </w:r>
    </w:p>
    <w:p w:rsidR="00820D16" w:rsidRDefault="004A557F" w:rsidP="007016D5">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2024年</w:t>
      </w:r>
      <w:r>
        <w:rPr>
          <w:rFonts w:ascii="方正黑体简体" w:eastAsia="方正黑体简体" w:hAnsi="Calibri" w:hint="eastAsia"/>
          <w:sz w:val="36"/>
        </w:rPr>
        <w:t>年度</w:t>
      </w:r>
      <w:r>
        <w:rPr>
          <w:rFonts w:ascii="方正黑体简体" w:eastAsia="方正黑体简体" w:hAnsi="黑体"/>
          <w:sz w:val="36"/>
        </w:rPr>
        <w:t>报告</w:t>
      </w:r>
    </w:p>
    <w:p w:rsidR="00820D16" w:rsidRDefault="00820D16" w:rsidP="007016D5">
      <w:pPr>
        <w:spacing w:before="240" w:afterLines="30" w:line="360" w:lineRule="auto"/>
        <w:jc w:val="center"/>
        <w:rPr>
          <w:rFonts w:ascii="黑体" w:eastAsia="黑体" w:hAnsi="黑体"/>
          <w:sz w:val="36"/>
        </w:rPr>
      </w:pPr>
    </w:p>
    <w:p w:rsidR="00820D16" w:rsidRDefault="00820D16" w:rsidP="007016D5">
      <w:pPr>
        <w:spacing w:before="240" w:afterLines="30" w:line="360" w:lineRule="auto"/>
        <w:jc w:val="center"/>
        <w:rPr>
          <w:rFonts w:ascii="黑体" w:eastAsia="黑体" w:hAnsi="黑体"/>
          <w:sz w:val="36"/>
        </w:rPr>
      </w:pPr>
    </w:p>
    <w:p w:rsidR="00820D16" w:rsidRDefault="00820D16" w:rsidP="007016D5">
      <w:pPr>
        <w:spacing w:before="240" w:afterLines="30" w:line="360" w:lineRule="auto"/>
        <w:jc w:val="center"/>
        <w:rPr>
          <w:rFonts w:ascii="黑体" w:eastAsia="黑体" w:hAnsi="黑体"/>
          <w:sz w:val="36"/>
        </w:rPr>
      </w:pPr>
    </w:p>
    <w:p w:rsidR="00820D16" w:rsidRDefault="00820D16" w:rsidP="007016D5">
      <w:pPr>
        <w:spacing w:before="240" w:afterLines="30" w:line="360" w:lineRule="auto"/>
        <w:jc w:val="center"/>
        <w:rPr>
          <w:rFonts w:ascii="黑体" w:eastAsia="黑体" w:hAnsi="黑体"/>
          <w:sz w:val="36"/>
        </w:rPr>
      </w:pPr>
    </w:p>
    <w:p w:rsidR="00820D16" w:rsidRDefault="00820D16" w:rsidP="007016D5">
      <w:pPr>
        <w:spacing w:before="240" w:afterLines="30" w:line="360" w:lineRule="auto"/>
        <w:jc w:val="center"/>
        <w:rPr>
          <w:rFonts w:ascii="黑体" w:eastAsia="黑体" w:hAnsi="黑体"/>
          <w:sz w:val="36"/>
        </w:rPr>
      </w:pPr>
    </w:p>
    <w:p w:rsidR="00820D16" w:rsidRDefault="00820D16" w:rsidP="007016D5">
      <w:pPr>
        <w:spacing w:before="240" w:afterLines="30" w:line="360" w:lineRule="auto"/>
        <w:jc w:val="center"/>
        <w:rPr>
          <w:rFonts w:ascii="黑体" w:eastAsia="黑体" w:hAnsi="黑体"/>
          <w:sz w:val="36"/>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产品管理人:南银理财有限责任公司</w:t>
      </w: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产品托管人:南京银行股份有限公司</w:t>
      </w:r>
    </w:p>
    <w:p w:rsidR="00820D16" w:rsidRDefault="004A557F">
      <w:pPr>
        <w:widowControl/>
        <w:jc w:val="left"/>
        <w:rPr>
          <w:rFonts w:ascii="方正仿宋简体" w:eastAsia="方正仿宋简体"/>
          <w:sz w:val="24"/>
          <w:szCs w:val="24"/>
        </w:rPr>
      </w:pPr>
      <w:r>
        <w:rPr>
          <w:rFonts w:ascii="方正仿宋简体" w:eastAsia="方正仿宋简体"/>
          <w:sz w:val="24"/>
          <w:szCs w:val="24"/>
        </w:rPr>
        <w:br w:type="page"/>
      </w:r>
    </w:p>
    <w:p w:rsidR="00820D16" w:rsidRDefault="004A557F" w:rsidP="007016D5">
      <w:pPr>
        <w:spacing w:before="240" w:afterLines="30" w:line="360" w:lineRule="auto"/>
        <w:jc w:val="center"/>
        <w:rPr>
          <w:rFonts w:ascii="方正仿宋简体" w:eastAsia="方正仿宋简体"/>
          <w:sz w:val="24"/>
          <w:szCs w:val="24"/>
        </w:rPr>
      </w:pPr>
      <w:r>
        <w:rPr>
          <w:rFonts w:ascii="方正仿宋简体" w:eastAsia="方正仿宋简体" w:hAnsi="Calibri" w:hint="eastAsia"/>
          <w:b/>
          <w:sz w:val="24"/>
          <w:szCs w:val="24"/>
        </w:rPr>
        <w:lastRenderedPageBreak/>
        <w:t>§1 产品概况</w:t>
      </w:r>
    </w:p>
    <w:tbl>
      <w:tblPr>
        <w:tblW w:w="89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724"/>
        <w:gridCol w:w="6178"/>
      </w:tblGrid>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南银理财鼎瑞悦稳（最低持有7天）2号公募人民币理财产品</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Z7003224000019（投资者可依据该编码在中国理财网www.chinawealth.com.cn查询理财产品相关信息）</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开放式净值型</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2024年01月11日</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3,331,088,918.50份</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sz w:val="24"/>
                <w:szCs w:val="24"/>
              </w:rPr>
              <w:t>110.03%</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中粮信托有限责任公司,国投泰康信托有限公司,陆家嘴国际信托有限公司,泰康资产管理有限责任公司,光大永明资产管理股份有限公司</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820D16">
        <w:tc>
          <w:tcPr>
            <w:tcW w:w="2724"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6178" w:type="dxa"/>
            <w:vAlign w:val="center"/>
          </w:tcPr>
          <w:p w:rsidR="00820D16" w:rsidRDefault="004A557F" w:rsidP="007016D5">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820D16" w:rsidRDefault="00820D16" w:rsidP="007016D5">
      <w:pPr>
        <w:spacing w:before="240" w:afterLines="30" w:line="360" w:lineRule="auto"/>
        <w:rPr>
          <w:rFonts w:ascii="方正仿宋简体" w:eastAsia="方正仿宋简体" w:hAnsi="Calibri"/>
          <w:sz w:val="24"/>
          <w:szCs w:val="24"/>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820D16" w:rsidRDefault="004A557F" w:rsidP="007016D5">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413"/>
        <w:gridCol w:w="2268"/>
        <w:gridCol w:w="1701"/>
        <w:gridCol w:w="2126"/>
        <w:gridCol w:w="1394"/>
      </w:tblGrid>
      <w:tr w:rsidR="00820D16">
        <w:trPr>
          <w:trHeight w:val="755"/>
          <w:jc w:val="center"/>
        </w:trPr>
        <w:tc>
          <w:tcPr>
            <w:tcW w:w="1413" w:type="dxa"/>
            <w:vMerge w:val="restart"/>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489" w:type="dxa"/>
            <w:gridSpan w:val="4"/>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报告期（2024年01月11日 - 2024年12月31日）</w:t>
            </w:r>
          </w:p>
        </w:tc>
      </w:tr>
      <w:tr w:rsidR="00820D16">
        <w:trPr>
          <w:jc w:val="center"/>
        </w:trPr>
        <w:tc>
          <w:tcPr>
            <w:tcW w:w="1413" w:type="dxa"/>
            <w:vMerge/>
            <w:vAlign w:val="center"/>
          </w:tcPr>
          <w:p w:rsidR="00820D16" w:rsidRDefault="00820D16" w:rsidP="007016D5">
            <w:pPr>
              <w:spacing w:beforeLines="20" w:afterLines="20"/>
              <w:jc w:val="center"/>
              <w:rPr>
                <w:rFonts w:ascii="方正仿宋简体" w:eastAsia="方正仿宋简体"/>
                <w:sz w:val="24"/>
                <w:szCs w:val="24"/>
                <w:shd w:val="clear" w:color="auto" w:fill="FFFFFF"/>
              </w:rPr>
            </w:pPr>
          </w:p>
        </w:tc>
        <w:tc>
          <w:tcPr>
            <w:tcW w:w="2268" w:type="dxa"/>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701" w:type="dxa"/>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2126" w:type="dxa"/>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820D16" w:rsidRDefault="004A557F" w:rsidP="007016D5">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A32017</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1,866,278,079.55</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1.027099</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1.027099</w:t>
            </w:r>
          </w:p>
        </w:tc>
        <w:tc>
          <w:tcPr>
            <w:tcW w:w="1394" w:type="dxa"/>
            <w:vMerge w:val="restart"/>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18,425.62</w:t>
            </w: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A32018</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1,027,874.98</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1.027874</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1.027874</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A32019</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164,135,545.12</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1.026275</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1.026275</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A32024</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1,320,225,635.21</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1.025372</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1.025372</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A32025</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49,541,671.50</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1.024412</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1.024412</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r>
        <w:trPr>
          <w:jc w:val="center"/>
        </w:trPr>
        <w:tc>
          <w:tcPr>
            <w:tcW w:w="1413"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A32026</w:t>
            </w:r>
          </w:p>
        </w:tc>
        <w:tc>
          <w:tcPr>
            <w:tcW w:w="226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17,657,378.34</w:t>
            </w:r>
          </w:p>
        </w:tc>
        <w:tc>
          <w:tcPr>
            <w:tcW w:w="170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1.026537</w:t>
            </w:r>
          </w:p>
        </w:tc>
        <w:tc>
          <w:tcPr>
            <w:tcW w:w="2126"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1.026537</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bl>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hint="eastAsia"/>
          <w:sz w:val="24"/>
          <w:szCs w:val="24"/>
        </w:rPr>
        <w:t>  9月中下旬随着对央行和财政政策的预期逐步升温，10Y国债收益率在迫近2%后开启反弹，反弹幅度达到20BP以上，三季度信用债相比利率债而言，走势相对较弱，主要是由于在上半年利率下行的过程中，等级利差和信用利差均压至历史极低位置，因此在8月开始信用债便开始与利率走势有所分化，截至9月末，信用利差和期限利差多数走阔20bp以上，回到相对合理的位置,国庆后,随着权益市场的风险偏好的抬升，利率呈现震荡状态，信用债继续延续调整的态势，进入11月后，市场开始预期降准降息，市场开始抢跑，10年国债利率最低下行至1.7%附近，对降息预期定价较为充分，信用利差和期限利差被动走阔。</w:t>
        <w:br w:type="textWrapping" w:clear="all"/>
      </w:r>
      <w:r>
        <w:rPr>
          <w:rFonts w:ascii="方正仿宋简体" w:eastAsia="方正仿宋简体" w:hint="eastAsia"/>
          <w:sz w:val="24"/>
          <w:szCs w:val="24"/>
        </w:rPr>
        <w:t>  展望2025年1季度，对债券市场并不悲观，从货币的角度来看，当前的经济基本面偏弱的格局并不支持货币政策出现转向，进一步降准降息值得期待。</w:t>
        <w:br w:type="textWrapping" w:clear="all"/>
      </w:r>
      <w:r>
        <w:rPr>
          <w:rFonts w:ascii="方正仿宋简体" w:eastAsia="方正仿宋简体" w:hint="eastAsia"/>
          <w:sz w:val="24"/>
          <w:szCs w:val="24"/>
        </w:rPr>
        <w:t>  产品始终围绕稳健回报的收益目标进行操作，通过持有信用资质较好、绝对收益相对较高的江浙等发达省市信用债作为底仓，获取稳定可靠的票息收益；同时增加同业存单、存款等高流动性资产仓位保证流动性安全。基于对后市的判断，产品将灵活调整杠杆与久期，实现产品净值在合理区间内保持相对稳定；同时加强市场与品种研判，在控制好风险的前提下博取超额收益。</w:t>
      </w:r>
      <w:r>
        <w:rPr>
          <w:rFonts w:ascii="方正仿宋简体" w:eastAsia="方正仿宋简体" w:hint="eastAsia"/>
          <w:sz w:val="24"/>
          <w:szCs w:val="24"/>
        </w:rPr>
        <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  本产品持仓资产以债券为主，在持仓中维持合理比例高流动性资产，产品流动性状况较好。</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820D16" w:rsidRDefault="004A557F" w:rsidP="007016D5">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截至报告期末，本产品A32017份额净值为1.027099元，A32018份额净值为1.027874元，A32019份额净值为1.026275元，A32024份额净值为1.025372元，A32025份额净值为1.024412元，A32026份额净值为1.026537元。</w:t>
      </w:r>
    </w:p>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4A557F" w:rsidP="007016D5">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w:t>
      </w:r>
      <w:r w:rsidR="009726DC">
        <w:rPr>
          <w:rFonts w:ascii="方正仿宋简体" w:eastAsia="方正仿宋简体" w:hint="eastAsia"/>
          <w:b/>
          <w:sz w:val="24"/>
          <w:szCs w:val="24"/>
        </w:rPr>
        <w:t>本报告期内</w:t>
      </w:r>
      <w:r>
        <w:rPr>
          <w:rFonts w:ascii="方正仿宋简体" w:eastAsia="方正仿宋简体" w:hint="eastAsia"/>
          <w:b/>
          <w:sz w:val="24"/>
          <w:szCs w:val="24"/>
        </w:rPr>
        <w:t>报告中财务信息等内容的真实、准确和完整发表意见</w:t>
      </w:r>
    </w:p>
    <w:p w:rsidR="00820D16" w:rsidRDefault="004A557F" w:rsidP="007016D5">
      <w:pPr>
        <w:spacing w:before="240" w:afterLines="30" w:line="360" w:lineRule="auto"/>
        <w:rPr>
          <w:rFonts w:ascii="方正仿宋简体" w:eastAsia="方正仿宋简体"/>
          <w:sz w:val="24"/>
          <w:szCs w:val="24"/>
        </w:rPr>
      </w:pPr>
      <w:r>
        <w:rPr>
          <w:rFonts w:ascii="方正仿宋简体" w:eastAsia="方正仿宋简体"/>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820D16" w:rsidRDefault="00820D16" w:rsidP="007016D5">
      <w:pPr>
        <w:spacing w:before="240" w:afterLines="30" w:line="360" w:lineRule="auto"/>
        <w:rPr>
          <w:rFonts w:ascii="方正仿宋简体" w:eastAsia="方正仿宋简体"/>
          <w:sz w:val="24"/>
          <w:szCs w:val="24"/>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820D16">
        <w:trPr>
          <w:trHeight w:val="584"/>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820D16">
        <w:trPr>
          <w:trHeight w:val="584"/>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99.73</w:t>
            </w:r>
            <w:r>
              <w:rPr>
                <w:rFonts w:ascii="方正仿宋简体" w:eastAsia="方正仿宋简体" w:hAnsiTheme="minorEastAsia"/>
                <w:sz w:val="24"/>
                <w:szCs w:val="24"/>
              </w:rPr>
              <w:t>%</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93.16</w:t>
            </w:r>
            <w:r>
              <w:rPr>
                <w:rFonts w:ascii="方正仿宋简体" w:eastAsia="方正仿宋简体" w:hAnsiTheme="minorEastAsia"/>
                <w:sz w:val="24"/>
                <w:szCs w:val="24"/>
              </w:rPr>
              <w:t>%</w:t>
            </w:r>
          </w:p>
        </w:tc>
      </w:tr>
      <w:tr w:rsidR="00820D16">
        <w:trPr>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0.27</w:t>
            </w:r>
            <w:r>
              <w:rPr>
                <w:rFonts w:ascii="方正仿宋简体" w:eastAsia="方正仿宋简体" w:hAnsiTheme="minorEastAsia"/>
                <w:sz w:val="24"/>
                <w:szCs w:val="24"/>
              </w:rPr>
              <w:t>%</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6.84</w:t>
            </w:r>
            <w:r>
              <w:rPr>
                <w:rFonts w:ascii="方正仿宋简体" w:eastAsia="方正仿宋简体" w:hAnsiTheme="minorEastAsia"/>
                <w:sz w:val="24"/>
                <w:szCs w:val="24"/>
              </w:rPr>
              <w:t>%</w:t>
            </w:r>
          </w:p>
        </w:tc>
      </w:tr>
      <w:tr w:rsidR="00820D16">
        <w:trPr>
          <w:trHeight w:val="584"/>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820D16">
        <w:trPr>
          <w:trHeight w:val="584"/>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820D16">
        <w:trPr>
          <w:trHeight w:val="584"/>
          <w:jc w:val="center"/>
        </w:trPr>
        <w:tc>
          <w:tcPr>
            <w:tcW w:w="745" w:type="dxa"/>
            <w:vAlign w:val="bottom"/>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820D16" w:rsidRDefault="00820D16" w:rsidP="007016D5">
      <w:pPr>
        <w:spacing w:before="240" w:afterLines="30" w:line="360" w:lineRule="auto"/>
        <w:rPr>
          <w:rFonts w:ascii="方正仿宋简体" w:eastAsia="方正仿宋简体" w:cs="宋体"/>
          <w:kern w:val="0"/>
          <w:sz w:val="24"/>
          <w:szCs w:val="24"/>
        </w:rPr>
      </w:pPr>
    </w:p>
    <w:p w:rsidR="00820D16" w:rsidRDefault="004A557F" w:rsidP="007016D5">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589"/>
        <w:gridCol w:w="1748"/>
        <w:gridCol w:w="2721"/>
        <w:gridCol w:w="2059"/>
        <w:gridCol w:w="1785"/>
      </w:tblGrid>
      <w:tr w:rsidR="00820D16">
        <w:trPr>
          <w:trHeight w:val="870"/>
          <w:jc w:val="center"/>
        </w:trPr>
        <w:tc>
          <w:tcPr>
            <w:tcW w:w="589"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748"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ZJQTT202308160001</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中粮信托鼎兴4号集合资金信托计划</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582,513,730.76</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17.04</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ZJQTT202311080002</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国投泰康信托福佳2号集合资金信托计划</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437,019,588.12</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12.78</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ZJQTT202308180021</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中粮信托鼎兴1号集合资金信托计划</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394,693,962.42</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11.54</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ZJQTT202306010001</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中粮信托-鼎兴2号集合资金信托计划</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253,392,575.29</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7.41</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ZJQTT202302210002</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泰康资产纯泰33号资产管理产品</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205,654,328.18</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6.02</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254195</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24浔开01</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150,000,000.00</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4.39</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XJCKX202407020001</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北京银行上海分行活期存款</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115,907,273.46</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3.39</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DQCKX202405100003</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中国银行定期存款20240510C</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100,000,000.00</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2.92</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112403129</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24农业银行CD129</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98,520,500.00</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2.88</w:t>
            </w:r>
          </w:p>
        </w:tc>
      </w:tr>
      <w:tr>
        <w:trPr>
          <w:jc w:val="center"/>
        </w:trPr>
        <w:tc>
          <w:tcPr>
            <w:tcW w:w="589" w:type="dxa"/>
            <w:shd w:val="clear" w:color="auto" w:fill="auto"/>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w:t>
            </w:r>
          </w:p>
        </w:tc>
        <w:tc>
          <w:tcPr>
            <w:tcW w:w="1748" w:type="dxa"/>
            <w:shd w:val="clear" w:color="auto" w:fill="auto"/>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112403245</w:t>
            </w:r>
          </w:p>
        </w:tc>
        <w:tc>
          <w:tcPr>
            <w:tcW w:w="2721"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24农业银行CD245</w:t>
            </w:r>
          </w:p>
        </w:tc>
        <w:tc>
          <w:tcPr>
            <w:tcW w:w="2059"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98,375,800.00</w:t>
            </w:r>
          </w:p>
        </w:tc>
        <w:tc>
          <w:tcPr>
            <w:tcW w:w="1785" w:type="dxa"/>
            <w:shd w:val="clear" w:color="000000" w:fill="FFFFFF"/>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2.88</w:t>
            </w:r>
          </w:p>
        </w:tc>
      </w:tr>
    </w:tbl>
    <w:p w:rsidR="00820D16" w:rsidRDefault="00820D16" w:rsidP="007016D5">
      <w:pPr>
        <w:spacing w:before="240" w:afterLines="30" w:line="360" w:lineRule="auto"/>
        <w:rPr>
          <w:rFonts w:ascii="方正仿宋简体" w:eastAsia="方正仿宋简体" w:hAnsi="宋体" w:cs="宋体"/>
          <w:sz w:val="24"/>
          <w:szCs w:val="24"/>
          <w:shd w:val="clear" w:color="auto" w:fill="FFFFFF"/>
        </w:rPr>
      </w:pPr>
    </w:p>
    <w:p w:rsidR="00820D16" w:rsidRDefault="004A557F" w:rsidP="007016D5">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820D16">
        <w:trPr>
          <w:jc w:val="center"/>
        </w:trPr>
        <w:tc>
          <w:tcPr>
            <w:tcW w:w="707"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剩余融资期限（天</w:t>
            </w:r>
            <w:r>
              <w:rPr>
                <w:rFonts w:ascii="方正仿宋简体" w:eastAsia="方正仿宋简体" w:hAnsiTheme="minorEastAsia"/>
                <w:sz w:val="24"/>
                <w:szCs w:val="24"/>
              </w:rPr>
              <w:t>）</w:t>
            </w:r>
          </w:p>
        </w:tc>
        <w:tc>
          <w:tcPr>
            <w:tcW w:w="1695"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517"/>
        <w:gridCol w:w="2449"/>
        <w:gridCol w:w="1984"/>
        <w:gridCol w:w="1984"/>
      </w:tblGrid>
      <w:tr w:rsidR="00820D16">
        <w:trPr>
          <w:trHeight w:val="705"/>
          <w:jc w:val="center"/>
        </w:trPr>
        <w:tc>
          <w:tcPr>
            <w:tcW w:w="968"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517"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449"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820D16" w:rsidRDefault="004A557F" w:rsidP="007016D5">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51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4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0101030000000861</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南京银行南京分行南银理财鼎瑞悦稳最低持有7天2号</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820D16" w:rsidRDefault="00820D16" w:rsidP="007016D5">
      <w:pPr>
        <w:spacing w:before="240" w:afterLines="30" w:line="360" w:lineRule="auto"/>
        <w:rPr>
          <w:rFonts w:ascii="方正仿宋简体" w:eastAsia="方正仿宋简体"/>
          <w:sz w:val="24"/>
          <w:szCs w:val="24"/>
        </w:rPr>
      </w:pPr>
    </w:p>
    <w:p w:rsidR="00820D16" w:rsidRDefault="004A557F" w:rsidP="007016D5">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w:t>
      </w:r>
      <w:bookmarkStart w:id="0" w:name="_GoBack"/>
      <w:bookmarkEnd w:id="0"/>
      <w:r>
        <w:rPr>
          <w:rFonts w:ascii="方正仿宋简体" w:eastAsia="方正仿宋简体" w:hAnsi="宋体" w:cs="宋体" w:hint="eastAsia"/>
          <w:color w:val="000000"/>
          <w:kern w:val="0"/>
          <w:sz w:val="24"/>
          <w:szCs w:val="24"/>
        </w:rPr>
        <w:t>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30,533,095.89</w:t>
      </w:r>
      <w:r>
        <w:rPr>
          <w:rFonts w:ascii="方正仿宋简体" w:eastAsia="方正仿宋简体" w:hAnsi="宋体" w:cs="宋体" w:hint="eastAsia"/>
          <w:color w:val="000000"/>
          <w:kern w:val="0"/>
          <w:sz w:val="24"/>
          <w:szCs w:val="24"/>
        </w:rPr>
        <w:t>元。</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369,900,000.00</w:t>
      </w:r>
      <w:r>
        <w:rPr>
          <w:rFonts w:ascii="方正仿宋简体" w:eastAsia="方正仿宋简体" w:hAnsi="宋体" w:cs="宋体" w:hint="eastAsia"/>
          <w:color w:val="000000"/>
          <w:kern w:val="0"/>
          <w:sz w:val="24"/>
          <w:szCs w:val="24"/>
        </w:rPr>
        <w:t>元。</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820D16" w:rsidRDefault="007016D5"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w:t>
      </w:r>
      <w:r w:rsidR="004A557F">
        <w:rPr>
          <w:rFonts w:ascii="方正仿宋简体" w:eastAsia="方正仿宋简体" w:hAnsi="宋体" w:cs="宋体" w:hint="eastAsia"/>
          <w:color w:val="000000"/>
          <w:kern w:val="0"/>
          <w:sz w:val="24"/>
          <w:szCs w:val="24"/>
        </w:rPr>
        <w:t>支付关联方托管费</w:t>
      </w:r>
      <w:r w:rsidR="004A557F">
        <w:rPr>
          <w:rFonts w:ascii="方正仿宋简体" w:eastAsia="方正仿宋简体" w:hAnsi="宋体" w:cs="宋体"/>
          <w:color w:val="000000"/>
          <w:kern w:val="0"/>
          <w:sz w:val="24"/>
          <w:szCs w:val="24"/>
        </w:rPr>
        <w:t/>
      </w:r>
      <w:r w:rsidR="004A557F">
        <w:rPr>
          <w:rFonts w:ascii="方正仿宋简体" w:eastAsia="方正仿宋简体" w:hAnsi="宋体" w:cs="宋体" w:hint="eastAsia"/>
          <w:color w:val="000000"/>
          <w:kern w:val="0"/>
          <w:sz w:val="24"/>
          <w:szCs w:val="24"/>
        </w:rPr>
        <w:t/>
      </w:r>
      <w:r w:rsidR="004A557F">
        <w:rPr>
          <w:rFonts w:ascii="方正仿宋简体" w:eastAsia="方正仿宋简体" w:hAnsi="宋体" w:cs="宋体"/>
          <w:color w:val="000000"/>
          <w:kern w:val="0"/>
          <w:sz w:val="24"/>
          <w:szCs w:val="24"/>
        </w:rPr>
        <w:t>710,748.61</w:t>
      </w:r>
      <w:r>
        <w:rPr>
          <w:rFonts w:ascii="方正仿宋简体" w:eastAsia="方正仿宋简体" w:hAnsi="宋体" w:cs="宋体" w:hint="eastAsia"/>
          <w:color w:val="000000"/>
          <w:kern w:val="0"/>
          <w:sz w:val="24"/>
          <w:szCs w:val="24"/>
        </w:rPr>
        <w:t>元，</w:t>
      </w:r>
      <w:r w:rsidR="004A557F">
        <w:rPr>
          <w:rFonts w:ascii="方正仿宋简体" w:eastAsia="方正仿宋简体" w:hAnsi="宋体" w:cs="宋体" w:hint="eastAsia"/>
          <w:color w:val="000000"/>
          <w:kern w:val="0"/>
          <w:sz w:val="24"/>
          <w:szCs w:val="24"/>
        </w:rPr>
        <w:t>支付关联方代销费</w:t>
      </w:r>
      <w:r w:rsidR="004A557F">
        <w:rPr>
          <w:rFonts w:ascii="方正仿宋简体" w:eastAsia="方正仿宋简体" w:hAnsi="宋体" w:cs="宋体"/>
          <w:color w:val="000000"/>
          <w:kern w:val="0"/>
          <w:sz w:val="24"/>
          <w:szCs w:val="24"/>
        </w:rPr>
        <w:t/>
      </w:r>
      <w:r w:rsidR="004A557F">
        <w:rPr>
          <w:rFonts w:ascii="方正仿宋简体" w:eastAsia="方正仿宋简体" w:hAnsi="宋体" w:cs="宋体" w:hint="eastAsia"/>
          <w:color w:val="000000"/>
          <w:kern w:val="0"/>
          <w:sz w:val="24"/>
          <w:szCs w:val="24"/>
        </w:rPr>
        <w:t/>
      </w:r>
      <w:r w:rsidR="004A557F">
        <w:rPr>
          <w:rFonts w:ascii="方正仿宋简体" w:eastAsia="方正仿宋简体" w:hAnsi="宋体" w:cs="宋体"/>
          <w:color w:val="000000"/>
          <w:kern w:val="0"/>
          <w:sz w:val="24"/>
          <w:szCs w:val="24"/>
        </w:rPr>
        <w:t>2,724,581.69</w:t>
      </w:r>
      <w:r w:rsidR="004A557F">
        <w:rPr>
          <w:rFonts w:ascii="方正仿宋简体" w:eastAsia="方正仿宋简体" w:hAnsi="宋体" w:cs="宋体" w:hint="eastAsia"/>
          <w:color w:val="000000"/>
          <w:kern w:val="0"/>
          <w:sz w:val="24"/>
          <w:szCs w:val="24"/>
        </w:rPr>
        <w:t>元。</w:t>
      </w:r>
    </w:p>
    <w:p w:rsidR="00820D16" w:rsidRDefault="004A557F" w:rsidP="007016D5">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820D16" w:rsidRDefault="004A557F" w:rsidP="007016D5">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820D16" w:rsidP="007016D5">
      <w:pPr>
        <w:spacing w:before="240" w:afterLines="30" w:line="360" w:lineRule="auto"/>
        <w:rPr>
          <w:rFonts w:ascii="方正仿宋简体" w:eastAsia="方正仿宋简体" w:hAnsi="宋体" w:cs="宋体"/>
          <w:kern w:val="0"/>
          <w:sz w:val="24"/>
          <w:szCs w:val="24"/>
        </w:rPr>
      </w:pPr>
    </w:p>
    <w:p w:rsidR="00820D16" w:rsidRDefault="004A557F" w:rsidP="007016D5">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820D16" w:rsidRDefault="004A557F" w:rsidP="00E75226">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2024年12月31日</w:t>
      </w:r>
    </w:p>
    <w:sectPr w:rsidR="00820D16" w:rsidSect="00820D16">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1F8" w:rsidRDefault="001131F8" w:rsidP="00820D16">
      <w:r>
        <w:separator/>
      </w:r>
    </w:p>
  </w:endnote>
  <w:endnote w:type="continuationSeparator" w:id="1">
    <w:p w:rsidR="001131F8" w:rsidRDefault="001131F8" w:rsidP="0082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16" w:rsidRDefault="00E75226">
    <w:pPr>
      <w:pStyle w:val="a6"/>
      <w:framePr w:wrap="around" w:vAnchor="text" w:hAnchor="margin" w:xAlign="center" w:y="1"/>
      <w:rPr>
        <w:rStyle w:val="aa"/>
      </w:rPr>
    </w:pPr>
    <w:r>
      <w:fldChar w:fldCharType="begin"/>
    </w:r>
    <w:r w:rsidR="004A557F">
      <w:rPr>
        <w:rStyle w:val="aa"/>
      </w:rPr>
      <w:instrText xml:space="preserve">PAGE  </w:instrText>
    </w:r>
    <w:r>
      <w:fldChar w:fldCharType="end"/>
    </w:r>
  </w:p>
  <w:p w:rsidR="00820D16" w:rsidRDefault="00820D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16" w:rsidRDefault="00820D1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1F8" w:rsidRDefault="001131F8" w:rsidP="00820D16">
      <w:r>
        <w:separator/>
      </w:r>
    </w:p>
  </w:footnote>
  <w:footnote w:type="continuationSeparator" w:id="1">
    <w:p w:rsidR="001131F8" w:rsidRDefault="001131F8" w:rsidP="00820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16" w:rsidRDefault="00820D1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D16" w:rsidRDefault="00820D16">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172A27"/>
    <w:rsid w:val="000060E5"/>
    <w:rsid w:val="000234FF"/>
    <w:rsid w:val="00026D52"/>
    <w:rsid w:val="000318AA"/>
    <w:rsid w:val="000331A3"/>
    <w:rsid w:val="00034FF6"/>
    <w:rsid w:val="000379EA"/>
    <w:rsid w:val="00044BFF"/>
    <w:rsid w:val="000470C2"/>
    <w:rsid w:val="0005474A"/>
    <w:rsid w:val="0005609C"/>
    <w:rsid w:val="00061725"/>
    <w:rsid w:val="000857E6"/>
    <w:rsid w:val="0009184B"/>
    <w:rsid w:val="00095B95"/>
    <w:rsid w:val="000A3711"/>
    <w:rsid w:val="000D5066"/>
    <w:rsid w:val="000E3F60"/>
    <w:rsid w:val="000E6ACE"/>
    <w:rsid w:val="000F6191"/>
    <w:rsid w:val="00103D08"/>
    <w:rsid w:val="001131F8"/>
    <w:rsid w:val="001159BA"/>
    <w:rsid w:val="001279EA"/>
    <w:rsid w:val="00130CE8"/>
    <w:rsid w:val="0014449D"/>
    <w:rsid w:val="00152201"/>
    <w:rsid w:val="001538A9"/>
    <w:rsid w:val="00167653"/>
    <w:rsid w:val="00172A27"/>
    <w:rsid w:val="001735BA"/>
    <w:rsid w:val="00176636"/>
    <w:rsid w:val="00183C84"/>
    <w:rsid w:val="001B497D"/>
    <w:rsid w:val="001C05F9"/>
    <w:rsid w:val="001C4DF0"/>
    <w:rsid w:val="001C5395"/>
    <w:rsid w:val="001D484E"/>
    <w:rsid w:val="001E2EEA"/>
    <w:rsid w:val="001E5905"/>
    <w:rsid w:val="001E7120"/>
    <w:rsid w:val="00211F26"/>
    <w:rsid w:val="00224D9D"/>
    <w:rsid w:val="002263FC"/>
    <w:rsid w:val="002448E3"/>
    <w:rsid w:val="00247A0A"/>
    <w:rsid w:val="00266D7F"/>
    <w:rsid w:val="002678D9"/>
    <w:rsid w:val="002765C9"/>
    <w:rsid w:val="00295E85"/>
    <w:rsid w:val="002A3AE9"/>
    <w:rsid w:val="002B100D"/>
    <w:rsid w:val="002C196E"/>
    <w:rsid w:val="002D2787"/>
    <w:rsid w:val="002D2DB0"/>
    <w:rsid w:val="002D75D0"/>
    <w:rsid w:val="002E7131"/>
    <w:rsid w:val="002E795C"/>
    <w:rsid w:val="00305714"/>
    <w:rsid w:val="00313E71"/>
    <w:rsid w:val="00317582"/>
    <w:rsid w:val="00321CB7"/>
    <w:rsid w:val="003379A9"/>
    <w:rsid w:val="0035030B"/>
    <w:rsid w:val="00350ADF"/>
    <w:rsid w:val="00355623"/>
    <w:rsid w:val="0036355A"/>
    <w:rsid w:val="003658B9"/>
    <w:rsid w:val="00387F9B"/>
    <w:rsid w:val="003A0419"/>
    <w:rsid w:val="003B7361"/>
    <w:rsid w:val="003C4D3B"/>
    <w:rsid w:val="003D4B6E"/>
    <w:rsid w:val="003E09EA"/>
    <w:rsid w:val="003E412C"/>
    <w:rsid w:val="003F0AC3"/>
    <w:rsid w:val="00456251"/>
    <w:rsid w:val="004568D2"/>
    <w:rsid w:val="0046794D"/>
    <w:rsid w:val="00473E35"/>
    <w:rsid w:val="00497721"/>
    <w:rsid w:val="004A2DC3"/>
    <w:rsid w:val="004A557F"/>
    <w:rsid w:val="004B249A"/>
    <w:rsid w:val="004B5DED"/>
    <w:rsid w:val="004C1607"/>
    <w:rsid w:val="004C42AC"/>
    <w:rsid w:val="004E621E"/>
    <w:rsid w:val="004F2359"/>
    <w:rsid w:val="004F313C"/>
    <w:rsid w:val="005060AD"/>
    <w:rsid w:val="005069D8"/>
    <w:rsid w:val="0051077F"/>
    <w:rsid w:val="00522858"/>
    <w:rsid w:val="0056162E"/>
    <w:rsid w:val="00563B93"/>
    <w:rsid w:val="00567DB3"/>
    <w:rsid w:val="00567EEC"/>
    <w:rsid w:val="00594CF2"/>
    <w:rsid w:val="005B3434"/>
    <w:rsid w:val="005B3C9E"/>
    <w:rsid w:val="005B7384"/>
    <w:rsid w:val="005D5ED6"/>
    <w:rsid w:val="005E0686"/>
    <w:rsid w:val="005E2884"/>
    <w:rsid w:val="005E40C5"/>
    <w:rsid w:val="005E5050"/>
    <w:rsid w:val="005F2C7B"/>
    <w:rsid w:val="005F4D04"/>
    <w:rsid w:val="005F7DA9"/>
    <w:rsid w:val="006054F8"/>
    <w:rsid w:val="00642A8D"/>
    <w:rsid w:val="0065419A"/>
    <w:rsid w:val="00654220"/>
    <w:rsid w:val="00663B94"/>
    <w:rsid w:val="006761FB"/>
    <w:rsid w:val="00677F66"/>
    <w:rsid w:val="006A77A0"/>
    <w:rsid w:val="006B0D3E"/>
    <w:rsid w:val="006B6B67"/>
    <w:rsid w:val="006C1014"/>
    <w:rsid w:val="006D1F54"/>
    <w:rsid w:val="006E4E94"/>
    <w:rsid w:val="006F69B2"/>
    <w:rsid w:val="007016D5"/>
    <w:rsid w:val="007017D8"/>
    <w:rsid w:val="00730BEE"/>
    <w:rsid w:val="0073101E"/>
    <w:rsid w:val="00735153"/>
    <w:rsid w:val="00745421"/>
    <w:rsid w:val="00745F96"/>
    <w:rsid w:val="00774E0A"/>
    <w:rsid w:val="00782F29"/>
    <w:rsid w:val="007A4219"/>
    <w:rsid w:val="007B08DF"/>
    <w:rsid w:val="007E0B6E"/>
    <w:rsid w:val="007E4637"/>
    <w:rsid w:val="007E68A3"/>
    <w:rsid w:val="00800690"/>
    <w:rsid w:val="0080200C"/>
    <w:rsid w:val="00805821"/>
    <w:rsid w:val="00814110"/>
    <w:rsid w:val="00820D16"/>
    <w:rsid w:val="0082561A"/>
    <w:rsid w:val="008273FB"/>
    <w:rsid w:val="00846B2E"/>
    <w:rsid w:val="0085663C"/>
    <w:rsid w:val="00870717"/>
    <w:rsid w:val="008768AB"/>
    <w:rsid w:val="008870FD"/>
    <w:rsid w:val="008904CC"/>
    <w:rsid w:val="008926F7"/>
    <w:rsid w:val="008A7510"/>
    <w:rsid w:val="008C78BD"/>
    <w:rsid w:val="008D1B73"/>
    <w:rsid w:val="008F099C"/>
    <w:rsid w:val="008F0FA3"/>
    <w:rsid w:val="008F169F"/>
    <w:rsid w:val="008F1AB3"/>
    <w:rsid w:val="00900D90"/>
    <w:rsid w:val="0092772F"/>
    <w:rsid w:val="009354D6"/>
    <w:rsid w:val="00950650"/>
    <w:rsid w:val="009566E6"/>
    <w:rsid w:val="00956754"/>
    <w:rsid w:val="009679B0"/>
    <w:rsid w:val="00970A98"/>
    <w:rsid w:val="009726DC"/>
    <w:rsid w:val="00977E89"/>
    <w:rsid w:val="00982592"/>
    <w:rsid w:val="009A4E58"/>
    <w:rsid w:val="009A4E79"/>
    <w:rsid w:val="009B1695"/>
    <w:rsid w:val="009B2EEF"/>
    <w:rsid w:val="009C6A99"/>
    <w:rsid w:val="009C781F"/>
    <w:rsid w:val="009D5296"/>
    <w:rsid w:val="009E5F4C"/>
    <w:rsid w:val="009E6170"/>
    <w:rsid w:val="009F1FD4"/>
    <w:rsid w:val="009F4338"/>
    <w:rsid w:val="00A204A0"/>
    <w:rsid w:val="00A24362"/>
    <w:rsid w:val="00A4484F"/>
    <w:rsid w:val="00A66D8E"/>
    <w:rsid w:val="00A748DB"/>
    <w:rsid w:val="00A76D4B"/>
    <w:rsid w:val="00A77C47"/>
    <w:rsid w:val="00A9119C"/>
    <w:rsid w:val="00A93E3C"/>
    <w:rsid w:val="00A94A56"/>
    <w:rsid w:val="00AA4549"/>
    <w:rsid w:val="00AA5B04"/>
    <w:rsid w:val="00AC5144"/>
    <w:rsid w:val="00B030BC"/>
    <w:rsid w:val="00B13014"/>
    <w:rsid w:val="00B17559"/>
    <w:rsid w:val="00B23430"/>
    <w:rsid w:val="00B23E1D"/>
    <w:rsid w:val="00B33978"/>
    <w:rsid w:val="00B33B19"/>
    <w:rsid w:val="00B404E6"/>
    <w:rsid w:val="00B4360D"/>
    <w:rsid w:val="00B43E89"/>
    <w:rsid w:val="00B61EA9"/>
    <w:rsid w:val="00B670D1"/>
    <w:rsid w:val="00B74DCA"/>
    <w:rsid w:val="00BC0E14"/>
    <w:rsid w:val="00BC3903"/>
    <w:rsid w:val="00BD66CD"/>
    <w:rsid w:val="00BE47E0"/>
    <w:rsid w:val="00BF3D9D"/>
    <w:rsid w:val="00BF75C8"/>
    <w:rsid w:val="00C05F9C"/>
    <w:rsid w:val="00C1762E"/>
    <w:rsid w:val="00C20F36"/>
    <w:rsid w:val="00C25123"/>
    <w:rsid w:val="00C2582A"/>
    <w:rsid w:val="00C30A48"/>
    <w:rsid w:val="00C375A7"/>
    <w:rsid w:val="00C44DFE"/>
    <w:rsid w:val="00C62DF8"/>
    <w:rsid w:val="00C640FB"/>
    <w:rsid w:val="00C86023"/>
    <w:rsid w:val="00C94EBA"/>
    <w:rsid w:val="00CA6258"/>
    <w:rsid w:val="00CB054E"/>
    <w:rsid w:val="00CC52D7"/>
    <w:rsid w:val="00CC5E0C"/>
    <w:rsid w:val="00CD79D3"/>
    <w:rsid w:val="00CE4DED"/>
    <w:rsid w:val="00CF7900"/>
    <w:rsid w:val="00D17916"/>
    <w:rsid w:val="00D23AB6"/>
    <w:rsid w:val="00D50309"/>
    <w:rsid w:val="00D51AA9"/>
    <w:rsid w:val="00D55A00"/>
    <w:rsid w:val="00D56204"/>
    <w:rsid w:val="00D56691"/>
    <w:rsid w:val="00D7264A"/>
    <w:rsid w:val="00D7267C"/>
    <w:rsid w:val="00D84E43"/>
    <w:rsid w:val="00D870DF"/>
    <w:rsid w:val="00DA30A0"/>
    <w:rsid w:val="00DB0C2F"/>
    <w:rsid w:val="00DB3BF6"/>
    <w:rsid w:val="00DB56A2"/>
    <w:rsid w:val="00DC31CC"/>
    <w:rsid w:val="00DC728A"/>
    <w:rsid w:val="00DD2F3C"/>
    <w:rsid w:val="00DD65B5"/>
    <w:rsid w:val="00DF5BDF"/>
    <w:rsid w:val="00DF6907"/>
    <w:rsid w:val="00E1059D"/>
    <w:rsid w:val="00E11B2F"/>
    <w:rsid w:val="00E155DF"/>
    <w:rsid w:val="00E246E1"/>
    <w:rsid w:val="00E314CE"/>
    <w:rsid w:val="00E514EB"/>
    <w:rsid w:val="00E52823"/>
    <w:rsid w:val="00E52B10"/>
    <w:rsid w:val="00E600D0"/>
    <w:rsid w:val="00E7192D"/>
    <w:rsid w:val="00E75226"/>
    <w:rsid w:val="00E944FA"/>
    <w:rsid w:val="00E960DD"/>
    <w:rsid w:val="00E9797A"/>
    <w:rsid w:val="00EB0DB4"/>
    <w:rsid w:val="00EE0436"/>
    <w:rsid w:val="00EE5457"/>
    <w:rsid w:val="00F41324"/>
    <w:rsid w:val="00F57C12"/>
    <w:rsid w:val="00F609FD"/>
    <w:rsid w:val="00F64BD9"/>
    <w:rsid w:val="00F7052D"/>
    <w:rsid w:val="00F771E3"/>
    <w:rsid w:val="00F8162C"/>
    <w:rsid w:val="00F859AB"/>
    <w:rsid w:val="00F950D0"/>
    <w:rsid w:val="00FA0110"/>
    <w:rsid w:val="00FA2C26"/>
    <w:rsid w:val="00FC3509"/>
    <w:rsid w:val="00FD1F12"/>
    <w:rsid w:val="00FD412B"/>
    <w:rsid w:val="00FF26C8"/>
    <w:rsid w:val="016D581F"/>
    <w:rsid w:val="030F2BA7"/>
    <w:rsid w:val="03785193"/>
    <w:rsid w:val="04240CEE"/>
    <w:rsid w:val="065551D3"/>
    <w:rsid w:val="06C37561"/>
    <w:rsid w:val="0A236A5A"/>
    <w:rsid w:val="10992483"/>
    <w:rsid w:val="111D4539"/>
    <w:rsid w:val="13297F9C"/>
    <w:rsid w:val="134727C6"/>
    <w:rsid w:val="141A5102"/>
    <w:rsid w:val="15FE575C"/>
    <w:rsid w:val="19225CD9"/>
    <w:rsid w:val="1ADC05C7"/>
    <w:rsid w:val="1C4F5F81"/>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C753CC7"/>
    <w:rsid w:val="3F2C3B54"/>
    <w:rsid w:val="40990310"/>
    <w:rsid w:val="459870AF"/>
    <w:rsid w:val="45ED49CE"/>
    <w:rsid w:val="46F0109E"/>
    <w:rsid w:val="47475A63"/>
    <w:rsid w:val="4E276A76"/>
    <w:rsid w:val="509017BA"/>
    <w:rsid w:val="50C71C9D"/>
    <w:rsid w:val="51482FC3"/>
    <w:rsid w:val="52830253"/>
    <w:rsid w:val="541C469D"/>
    <w:rsid w:val="5BE61B5E"/>
    <w:rsid w:val="5EB6743D"/>
    <w:rsid w:val="602D020F"/>
    <w:rsid w:val="64C67B5C"/>
    <w:rsid w:val="66F47EBC"/>
    <w:rsid w:val="67A06E73"/>
    <w:rsid w:val="681903E9"/>
    <w:rsid w:val="68823415"/>
    <w:rsid w:val="6898111C"/>
    <w:rsid w:val="6A485270"/>
    <w:rsid w:val="6D05415D"/>
    <w:rsid w:val="6DB5108E"/>
    <w:rsid w:val="6EB04486"/>
    <w:rsid w:val="6F66394D"/>
    <w:rsid w:val="73193673"/>
    <w:rsid w:val="74543F24"/>
    <w:rsid w:val="74BE328D"/>
    <w:rsid w:val="76EB68DB"/>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20D16"/>
    <w:rPr>
      <w:b/>
      <w:bCs/>
    </w:rPr>
  </w:style>
  <w:style w:type="paragraph" w:styleId="a4">
    <w:name w:val="annotation text"/>
    <w:basedOn w:val="a"/>
    <w:link w:val="Char0"/>
    <w:uiPriority w:val="99"/>
    <w:unhideWhenUsed/>
    <w:qFormat/>
    <w:rsid w:val="00820D16"/>
    <w:pPr>
      <w:jc w:val="left"/>
    </w:pPr>
  </w:style>
  <w:style w:type="paragraph" w:styleId="a5">
    <w:name w:val="Balloon Text"/>
    <w:basedOn w:val="a"/>
    <w:link w:val="Char1"/>
    <w:uiPriority w:val="99"/>
    <w:unhideWhenUsed/>
    <w:qFormat/>
    <w:rsid w:val="00820D16"/>
    <w:rPr>
      <w:sz w:val="18"/>
      <w:szCs w:val="18"/>
    </w:rPr>
  </w:style>
  <w:style w:type="paragraph" w:styleId="a6">
    <w:name w:val="footer"/>
    <w:basedOn w:val="a"/>
    <w:link w:val="Char2"/>
    <w:uiPriority w:val="99"/>
    <w:unhideWhenUsed/>
    <w:qFormat/>
    <w:rsid w:val="00820D1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20D16"/>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820D16"/>
    <w:pPr>
      <w:snapToGrid w:val="0"/>
      <w:jc w:val="left"/>
    </w:pPr>
    <w:rPr>
      <w:sz w:val="18"/>
    </w:rPr>
  </w:style>
  <w:style w:type="paragraph" w:styleId="a9">
    <w:name w:val="Normal (Web)"/>
    <w:basedOn w:val="a"/>
    <w:qFormat/>
    <w:rsid w:val="00820D16"/>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820D16"/>
  </w:style>
  <w:style w:type="character" w:styleId="ab">
    <w:name w:val="annotation reference"/>
    <w:uiPriority w:val="99"/>
    <w:unhideWhenUsed/>
    <w:qFormat/>
    <w:rsid w:val="00820D16"/>
    <w:rPr>
      <w:sz w:val="21"/>
      <w:szCs w:val="21"/>
    </w:rPr>
  </w:style>
  <w:style w:type="character" w:styleId="ac">
    <w:name w:val="footnote reference"/>
    <w:uiPriority w:val="99"/>
    <w:unhideWhenUsed/>
    <w:qFormat/>
    <w:rsid w:val="00820D16"/>
    <w:rPr>
      <w:vertAlign w:val="superscript"/>
    </w:rPr>
  </w:style>
  <w:style w:type="character" w:customStyle="1" w:styleId="Char1">
    <w:name w:val="批注框文本 Char"/>
    <w:link w:val="a5"/>
    <w:uiPriority w:val="99"/>
    <w:semiHidden/>
    <w:qFormat/>
    <w:rsid w:val="00820D16"/>
    <w:rPr>
      <w:kern w:val="2"/>
      <w:sz w:val="18"/>
      <w:szCs w:val="18"/>
    </w:rPr>
  </w:style>
  <w:style w:type="character" w:customStyle="1" w:styleId="Char3">
    <w:name w:val="页眉 Char"/>
    <w:link w:val="a7"/>
    <w:uiPriority w:val="99"/>
    <w:semiHidden/>
    <w:qFormat/>
    <w:locked/>
    <w:rsid w:val="00820D16"/>
    <w:rPr>
      <w:rFonts w:ascii="Times New Roman" w:hAnsi="Times New Roman" w:cs="Times New Roman" w:hint="default"/>
      <w:sz w:val="18"/>
      <w:szCs w:val="18"/>
    </w:rPr>
  </w:style>
  <w:style w:type="character" w:customStyle="1" w:styleId="Char">
    <w:name w:val="批注主题 Char"/>
    <w:link w:val="a3"/>
    <w:uiPriority w:val="99"/>
    <w:semiHidden/>
    <w:qFormat/>
    <w:rsid w:val="00820D16"/>
    <w:rPr>
      <w:b/>
      <w:bCs/>
      <w:kern w:val="2"/>
      <w:sz w:val="21"/>
      <w:szCs w:val="22"/>
    </w:rPr>
  </w:style>
  <w:style w:type="character" w:customStyle="1" w:styleId="Char2">
    <w:name w:val="页脚 Char"/>
    <w:link w:val="a6"/>
    <w:uiPriority w:val="99"/>
    <w:semiHidden/>
    <w:qFormat/>
    <w:locked/>
    <w:rsid w:val="00820D16"/>
    <w:rPr>
      <w:rFonts w:ascii="Times New Roman" w:hAnsi="Times New Roman" w:cs="Times New Roman" w:hint="default"/>
      <w:sz w:val="18"/>
      <w:szCs w:val="18"/>
    </w:rPr>
  </w:style>
  <w:style w:type="character" w:customStyle="1" w:styleId="Char0">
    <w:name w:val="批注文字 Char"/>
    <w:link w:val="a4"/>
    <w:uiPriority w:val="99"/>
    <w:qFormat/>
    <w:rsid w:val="00820D16"/>
    <w:rPr>
      <w:kern w:val="2"/>
      <w:sz w:val="21"/>
      <w:szCs w:val="22"/>
    </w:rPr>
  </w:style>
  <w:style w:type="paragraph" w:customStyle="1" w:styleId="zhongyaotishi">
    <w:name w:val="zhongyaotishi"/>
    <w:basedOn w:val="a"/>
    <w:qFormat/>
    <w:rsid w:val="00820D16"/>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820D16"/>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820D16"/>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820D16"/>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820D16"/>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820D16"/>
    <w:pPr>
      <w:widowControl w:val="0"/>
      <w:jc w:val="center"/>
    </w:pPr>
    <w:rPr>
      <w:kern w:val="2"/>
      <w:sz w:val="33"/>
      <w:szCs w:val="22"/>
    </w:rPr>
  </w:style>
  <w:style w:type="paragraph" w:customStyle="1" w:styleId="biaogeleft">
    <w:name w:val="biaoge_left"/>
    <w:basedOn w:val="a"/>
    <w:qFormat/>
    <w:rsid w:val="00820D16"/>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820D16"/>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820D16"/>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820D16"/>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820D16"/>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820D16"/>
    <w:pPr>
      <w:widowControl w:val="0"/>
    </w:pPr>
    <w:rPr>
      <w:kern w:val="2"/>
      <w:sz w:val="21"/>
      <w:szCs w:val="22"/>
    </w:rPr>
  </w:style>
  <w:style w:type="paragraph" w:customStyle="1" w:styleId="neirong">
    <w:name w:val="neirong"/>
    <w:basedOn w:val="a"/>
    <w:qFormat/>
    <w:rsid w:val="00820D16"/>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820D16"/>
    <w:pPr>
      <w:jc w:val="both"/>
    </w:pPr>
    <w:rPr>
      <w:kern w:val="2"/>
      <w:sz w:val="21"/>
      <w:szCs w:val="21"/>
    </w:rPr>
  </w:style>
  <w:style w:type="paragraph" w:customStyle="1" w:styleId="Default">
    <w:name w:val="Default"/>
    <w:qFormat/>
    <w:rsid w:val="00820D16"/>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347</Words>
  <Characters>1984</Characters>
  <Application>Microsoft Office Word</Application>
  <DocSecurity>0</DocSecurity>
  <Lines>16</Lines>
  <Paragraphs>4</Paragraphs>
  <ScaleCrop>false</ScaleCrop>
  <Company>微软中国</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2022-08-03T07:54:00Z</dcterms:created>
  <dc:creator>总行金融市场部本币投资交易部梅浩超</dc:creator>
  <cp:lastModifiedBy>yytx</cp:lastModifiedBy>
  <cp:lastPrinted>2019-09-11T00:56:00Z</cp:lastPrinted>
  <dcterms:modified xsi:type="dcterms:W3CDTF">2025-05-07T01:54:00Z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