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E4" w:rsidRDefault="005754F6">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AB4DE4" w:rsidRDefault="005754F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B4DE4" w:rsidRDefault="005754F6">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B4DE4" w:rsidRDefault="005754F6">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B4DE4" w:rsidRDefault="005754F6">
      <w:pPr>
        <w:widowControl/>
        <w:spacing w:line="200" w:lineRule="exact"/>
        <w:ind w:firstLineChars="200" w:firstLine="260"/>
        <w:rPr>
          <w:color w:val="3D3D3D"/>
          <w:kern w:val="0"/>
          <w:sz w:val="13"/>
          <w:szCs w:val="13"/>
        </w:rPr>
      </w:pPr>
      <w:r>
        <w:rPr>
          <w:rFonts w:hint="eastAsia"/>
          <w:b/>
          <w:color w:val="3D3D3D"/>
          <w:kern w:val="0"/>
          <w:sz w:val="13"/>
          <w:szCs w:val="13"/>
        </w:rPr>
        <w:t>本风险揭示书列示的风险指理财产品项下可能涉及的风险，包括但不限于：</w:t>
      </w:r>
    </w:p>
    <w:p w:rsidR="00AB4DE4" w:rsidRDefault="005754F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B4DE4" w:rsidRDefault="005754F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B4DE4" w:rsidRDefault="005754F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B4DE4" w:rsidRDefault="005754F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w:t>
      </w:r>
      <w:r>
        <w:rPr>
          <w:rFonts w:hint="eastAsia"/>
          <w:color w:val="3D3D3D"/>
          <w:kern w:val="0"/>
          <w:sz w:val="13"/>
          <w:szCs w:val="13"/>
        </w:rPr>
        <w:lastRenderedPageBreak/>
        <w:t>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B4DE4" w:rsidRDefault="005754F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B4DE4" w:rsidRDefault="005754F6">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w:t>
      </w:r>
      <w:r>
        <w:rPr>
          <w:rFonts w:hint="eastAsia"/>
          <w:color w:val="3D3D3D"/>
          <w:kern w:val="0"/>
          <w:sz w:val="13"/>
          <w:szCs w:val="13"/>
        </w:rPr>
        <w:t>方将依照恪尽职守、诚实信用、谨慎勤勉的原则进行业务操作，但仍可能存在利益冲突。如果发生道德风险等情形将对投资者权益产生不利影响。</w:t>
      </w:r>
    </w:p>
    <w:p w:rsidR="00AB4DE4" w:rsidRDefault="005754F6">
      <w:pPr>
        <w:pStyle w:val="Normaledb3358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B4DE4" w:rsidRDefault="005754F6">
      <w:pPr>
        <w:spacing w:line="200" w:lineRule="exact"/>
      </w:pPr>
      <w:r>
        <w:rPr>
          <w:rFonts w:cs="宋体"/>
          <w:b/>
          <w:sz w:val="13"/>
          <w:szCs w:val="20"/>
        </w:rPr>
        <w:t xml:space="preserve">    1.</w:t>
      </w:r>
      <w:r>
        <w:rPr>
          <w:rFonts w:cs="宋体"/>
          <w:b/>
          <w:sz w:val="13"/>
          <w:szCs w:val="20"/>
        </w:rPr>
        <w:t>债券类资产投资风险</w:t>
      </w:r>
    </w:p>
    <w:p w:rsidR="00AB4DE4" w:rsidRDefault="005754F6">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w:t>
      </w:r>
      <w:r>
        <w:rPr>
          <w:rFonts w:cs="宋体"/>
          <w:b/>
          <w:sz w:val="13"/>
          <w:szCs w:val="20"/>
        </w:rPr>
        <w:t>收益无法及时实现的风险。</w:t>
      </w:r>
    </w:p>
    <w:p w:rsidR="00AB4DE4" w:rsidRDefault="005754F6">
      <w:pPr>
        <w:spacing w:line="200" w:lineRule="exact"/>
      </w:pPr>
      <w:r>
        <w:rPr>
          <w:rFonts w:cs="宋体"/>
          <w:b/>
          <w:sz w:val="13"/>
          <w:szCs w:val="20"/>
        </w:rPr>
        <w:t xml:space="preserve">    2.</w:t>
      </w:r>
      <w:r>
        <w:rPr>
          <w:rFonts w:cs="宋体"/>
          <w:b/>
          <w:sz w:val="13"/>
          <w:szCs w:val="20"/>
        </w:rPr>
        <w:t>非标准化债权类资产投资风险</w:t>
      </w:r>
    </w:p>
    <w:p w:rsidR="00AB4DE4" w:rsidRDefault="005754F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B4DE4" w:rsidRDefault="005754F6">
      <w:pPr>
        <w:spacing w:line="200" w:lineRule="exact"/>
      </w:pPr>
      <w:r>
        <w:rPr>
          <w:rFonts w:cs="宋体"/>
          <w:b/>
          <w:sz w:val="13"/>
          <w:szCs w:val="20"/>
        </w:rPr>
        <w:t xml:space="preserve">    3.</w:t>
      </w:r>
      <w:r>
        <w:rPr>
          <w:rFonts w:cs="宋体"/>
          <w:b/>
          <w:sz w:val="13"/>
          <w:szCs w:val="20"/>
        </w:rPr>
        <w:t>资产管理产品投资风险</w:t>
      </w:r>
    </w:p>
    <w:p w:rsidR="00AB4DE4" w:rsidRDefault="005754F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B4DE4" w:rsidRDefault="005754F6">
      <w:pPr>
        <w:pStyle w:val="Normaledb3358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AB4DE4" w:rsidRDefault="005754F6">
      <w:pPr>
        <w:pStyle w:val="Normaledb3358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AB4DE4" w:rsidRDefault="005754F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AB4DE4" w:rsidRDefault="005754F6">
      <w:pPr>
        <w:pStyle w:val="annotationtext23"/>
        <w:spacing w:line="200" w:lineRule="exact"/>
        <w:ind w:firstLineChars="200" w:firstLine="260"/>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B4DE4" w:rsidRDefault="005754F6">
      <w:pPr>
        <w:pStyle w:val="Normaledb33587"/>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r>
        <w:rPr>
          <w:rFonts w:hint="eastAsia"/>
          <w:color w:val="3D3D3D"/>
          <w:kern w:val="0"/>
          <w:sz w:val="13"/>
          <w:szCs w:val="13"/>
        </w:rPr>
        <w:t>A</w:t>
      </w:r>
      <w:r>
        <w:rPr>
          <w:rFonts w:hint="eastAsia"/>
          <w:color w:val="3D3D3D"/>
          <w:kern w:val="0"/>
          <w:sz w:val="13"/>
          <w:szCs w:val="13"/>
        </w:rPr>
        <w:t>份额：所有客户（</w:t>
      </w:r>
      <w:r>
        <w:rPr>
          <w:rFonts w:hint="eastAsia"/>
          <w:color w:val="3D3D3D"/>
          <w:kern w:val="0"/>
          <w:sz w:val="13"/>
          <w:szCs w:val="13"/>
        </w:rPr>
        <w:t>C</w:t>
      </w:r>
      <w:r>
        <w:rPr>
          <w:rFonts w:hint="eastAsia"/>
          <w:color w:val="3D3D3D"/>
          <w:kern w:val="0"/>
          <w:sz w:val="13"/>
          <w:szCs w:val="13"/>
        </w:rPr>
        <w:t>、</w:t>
      </w:r>
      <w:r>
        <w:rPr>
          <w:rFonts w:hint="eastAsia"/>
          <w:color w:val="3D3D3D"/>
          <w:kern w:val="0"/>
          <w:sz w:val="13"/>
          <w:szCs w:val="13"/>
        </w:rPr>
        <w:t>D</w:t>
      </w:r>
      <w:r>
        <w:rPr>
          <w:rFonts w:hint="eastAsia"/>
          <w:color w:val="3D3D3D"/>
          <w:kern w:val="0"/>
          <w:sz w:val="13"/>
          <w:szCs w:val="13"/>
        </w:rPr>
        <w:t>份额约定客户除外）</w:t>
      </w:r>
      <w:r>
        <w:rPr>
          <w:rFonts w:hint="eastAsia"/>
          <w:color w:val="3D3D3D"/>
          <w:kern w:val="0"/>
          <w:sz w:val="13"/>
          <w:szCs w:val="13"/>
        </w:rPr>
        <w:t>B</w:t>
      </w:r>
      <w:r>
        <w:rPr>
          <w:rFonts w:hint="eastAsia"/>
          <w:color w:val="3D3D3D"/>
          <w:kern w:val="0"/>
          <w:sz w:val="13"/>
          <w:szCs w:val="13"/>
        </w:rPr>
        <w:t>份额：机构客户</w:t>
      </w:r>
      <w:r>
        <w:rPr>
          <w:rFonts w:hint="eastAsia"/>
          <w:color w:val="3D3D3D"/>
          <w:kern w:val="0"/>
          <w:sz w:val="13"/>
          <w:szCs w:val="13"/>
        </w:rPr>
        <w:t>C</w:t>
      </w:r>
      <w:r>
        <w:rPr>
          <w:rFonts w:hint="eastAsia"/>
          <w:color w:val="3D3D3D"/>
          <w:kern w:val="0"/>
          <w:sz w:val="13"/>
          <w:szCs w:val="13"/>
        </w:rPr>
        <w:t>份额：青岛银行客户</w:t>
      </w:r>
      <w:r>
        <w:rPr>
          <w:rFonts w:hint="eastAsia"/>
          <w:color w:val="3D3D3D"/>
          <w:kern w:val="0"/>
          <w:sz w:val="13"/>
          <w:szCs w:val="13"/>
        </w:rPr>
        <w:t>D</w:t>
      </w:r>
      <w:r>
        <w:rPr>
          <w:rFonts w:hint="eastAsia"/>
          <w:color w:val="3D3D3D"/>
          <w:kern w:val="0"/>
          <w:sz w:val="13"/>
          <w:szCs w:val="13"/>
        </w:rPr>
        <w:t>份额：浙江网商银行客户</w:t>
      </w:r>
    </w:p>
    <w:p w:rsidR="00AB4DE4" w:rsidRDefault="005754F6">
      <w:pPr>
        <w:pStyle w:val="Normaledb3358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B4DE4" w:rsidRDefault="005754F6">
      <w:pPr>
        <w:pStyle w:val="Normaledb3358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B4DE4" w:rsidRDefault="005754F6">
      <w:pPr>
        <w:pStyle w:val="Normaledb3358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w:t>
      </w:r>
      <w:r>
        <w:rPr>
          <w:rFonts w:hint="eastAsia"/>
          <w:b/>
          <w:bCs/>
          <w:color w:val="3D3D3D"/>
          <w:kern w:val="0"/>
          <w:sz w:val="13"/>
          <w:szCs w:val="13"/>
        </w:rPr>
        <w:t>，理财产品</w:t>
      </w:r>
      <w:r>
        <w:rPr>
          <w:b/>
          <w:bCs/>
          <w:color w:val="3D3D3D"/>
          <w:kern w:val="0"/>
          <w:sz w:val="13"/>
          <w:szCs w:val="13"/>
        </w:rPr>
        <w:t>1</w:t>
      </w:r>
      <w:r>
        <w:rPr>
          <w:rFonts w:hint="eastAsia"/>
          <w:b/>
          <w:bCs/>
          <w:color w:val="3D3D3D"/>
          <w:kern w:val="0"/>
          <w:sz w:val="13"/>
          <w:szCs w:val="13"/>
        </w:rPr>
        <w:t>万元本金将全部损失。</w:t>
      </w:r>
    </w:p>
    <w:p w:rsidR="00AB4DE4" w:rsidRDefault="00AB4DE4">
      <w:pPr>
        <w:pStyle w:val="Normaledb33587"/>
        <w:widowControl/>
        <w:spacing w:line="200" w:lineRule="exact"/>
        <w:ind w:firstLine="260"/>
        <w:rPr>
          <w:b/>
          <w:color w:val="3D3D3D"/>
          <w:kern w:val="0"/>
          <w:sz w:val="13"/>
          <w:szCs w:val="13"/>
        </w:rPr>
      </w:pPr>
    </w:p>
    <w:p w:rsidR="00AB4DE4" w:rsidRDefault="005754F6">
      <w:pPr>
        <w:pStyle w:val="Normaledb3358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B4DE4" w:rsidRDefault="00AB4DE4">
      <w:pPr>
        <w:pStyle w:val="Normaledb33587"/>
        <w:widowControl/>
        <w:spacing w:line="200" w:lineRule="exact"/>
        <w:ind w:firstLine="260"/>
        <w:jc w:val="center"/>
        <w:rPr>
          <w:b/>
          <w:color w:val="3D3D3D"/>
          <w:kern w:val="0"/>
          <w:sz w:val="15"/>
          <w:szCs w:val="15"/>
          <w:u w:val="single"/>
        </w:rPr>
      </w:pPr>
    </w:p>
    <w:p w:rsidR="00AB4DE4" w:rsidRDefault="005754F6">
      <w:pPr>
        <w:pStyle w:val="Normaledb33587"/>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B4DE4" w:rsidRDefault="005754F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B4DE4" w:rsidRDefault="005754F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B4DE4" w:rsidRDefault="005754F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B4DE4" w:rsidRDefault="005754F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B4DE4" w:rsidRDefault="005754F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B4DE4" w:rsidRDefault="005754F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w:t>
      </w:r>
      <w:r>
        <w:rPr>
          <w:rFonts w:hint="eastAsia"/>
          <w:b/>
          <w:color w:val="3D3D3D"/>
          <w:kern w:val="0"/>
          <w:sz w:val="15"/>
          <w:szCs w:val="15"/>
          <w:u w:val="single"/>
        </w:rPr>
        <w:t>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B4DE4" w:rsidRDefault="005754F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w:t>
      </w:r>
      <w:r>
        <w:rPr>
          <w:rFonts w:hint="eastAsia"/>
          <w:b/>
          <w:color w:val="3D3D3D"/>
          <w:kern w:val="0"/>
          <w:sz w:val="15"/>
          <w:szCs w:val="15"/>
          <w:u w:val="single"/>
        </w:rPr>
        <w:t>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AB4DE4" w:rsidRDefault="005754F6">
      <w:pPr>
        <w:widowControl/>
        <w:spacing w:line="200" w:lineRule="exact"/>
        <w:ind w:firstLine="420"/>
        <w:rPr>
          <w:b/>
          <w:color w:val="3D3D3D"/>
          <w:kern w:val="0"/>
          <w:sz w:val="15"/>
          <w:szCs w:val="15"/>
          <w:u w:val="single"/>
        </w:rPr>
      </w:pPr>
      <w:r>
        <w:rPr>
          <w:rFonts w:hint="eastAsia"/>
          <w:b/>
          <w:color w:val="3D3D3D"/>
          <w:kern w:val="0"/>
          <w:sz w:val="15"/>
          <w:szCs w:val="15"/>
        </w:rPr>
        <w:lastRenderedPageBreak/>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B4DE4" w:rsidRDefault="005754F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B4DE4" w:rsidRDefault="005754F6">
      <w:pPr>
        <w:widowControl/>
        <w:spacing w:line="200" w:lineRule="exact"/>
        <w:ind w:firstLine="210"/>
        <w:rPr>
          <w:color w:val="3D3D3D"/>
          <w:kern w:val="0"/>
          <w:sz w:val="15"/>
          <w:szCs w:val="15"/>
        </w:rPr>
      </w:pPr>
      <w:r>
        <w:rPr>
          <w:rFonts w:hint="eastAsia"/>
          <w:color w:val="3D3D3D"/>
          <w:kern w:val="0"/>
          <w:sz w:val="15"/>
          <w:szCs w:val="15"/>
        </w:rPr>
        <w:t xml:space="preserve">         </w:t>
      </w:r>
    </w:p>
    <w:p w:rsidR="00AB4DE4" w:rsidRDefault="00AB4DE4">
      <w:pPr>
        <w:widowControl/>
        <w:spacing w:line="200" w:lineRule="exact"/>
        <w:ind w:firstLine="210"/>
        <w:rPr>
          <w:color w:val="3D3D3D"/>
          <w:kern w:val="0"/>
          <w:sz w:val="15"/>
          <w:szCs w:val="15"/>
        </w:rPr>
      </w:pPr>
    </w:p>
    <w:p w:rsidR="00AB4DE4" w:rsidRDefault="005754F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B4DE4" w:rsidRDefault="00AB4DE4">
      <w:pPr>
        <w:widowControl/>
        <w:spacing w:line="200" w:lineRule="exact"/>
        <w:ind w:firstLine="210"/>
        <w:rPr>
          <w:color w:val="3D3D3D"/>
          <w:kern w:val="0"/>
          <w:sz w:val="13"/>
          <w:szCs w:val="13"/>
        </w:rPr>
      </w:pPr>
    </w:p>
    <w:p w:rsidR="00AB4DE4" w:rsidRDefault="00AB4DE4">
      <w:pPr>
        <w:widowControl/>
        <w:spacing w:line="200" w:lineRule="exact"/>
        <w:ind w:firstLine="210"/>
        <w:jc w:val="left"/>
        <w:rPr>
          <w:color w:val="3D3D3D"/>
          <w:kern w:val="0"/>
          <w:sz w:val="13"/>
          <w:szCs w:val="13"/>
        </w:rPr>
      </w:pPr>
    </w:p>
    <w:p w:rsidR="00AB4DE4" w:rsidRDefault="00AB4DE4">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B4DE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400" w:lineRule="exact"/>
              <w:jc w:val="center"/>
              <w:rPr>
                <w:b/>
                <w:sz w:val="15"/>
                <w:szCs w:val="15"/>
              </w:rPr>
            </w:pPr>
            <w:r>
              <w:rPr>
                <w:rFonts w:hint="eastAsia"/>
                <w:b/>
                <w:sz w:val="15"/>
                <w:szCs w:val="15"/>
              </w:rPr>
              <w:t>个人投资者</w:t>
            </w:r>
          </w:p>
        </w:tc>
      </w:tr>
      <w:tr w:rsidR="00AB4DE4">
        <w:tc>
          <w:tcPr>
            <w:tcW w:w="9287" w:type="dxa"/>
            <w:tcBorders>
              <w:top w:val="single" w:sz="4" w:space="0" w:color="auto"/>
              <w:left w:val="single" w:sz="4" w:space="0" w:color="auto"/>
              <w:bottom w:val="single" w:sz="4" w:space="0" w:color="auto"/>
              <w:right w:val="single" w:sz="4" w:space="0" w:color="auto"/>
              <w:tl2br w:val="nil"/>
              <w:tr2bl w:val="nil"/>
            </w:tcBorders>
          </w:tcPr>
          <w:p w:rsidR="00AB4DE4" w:rsidRDefault="005754F6">
            <w:pPr>
              <w:widowControl/>
              <w:spacing w:line="360" w:lineRule="auto"/>
              <w:rPr>
                <w:color w:val="3D3D3D"/>
                <w:kern w:val="0"/>
                <w:sz w:val="13"/>
                <w:szCs w:val="13"/>
              </w:rPr>
            </w:pPr>
            <w:r>
              <w:rPr>
                <w:rFonts w:hint="eastAsia"/>
                <w:sz w:val="15"/>
                <w:szCs w:val="15"/>
              </w:rPr>
              <w:t>签名：</w:t>
            </w:r>
          </w:p>
          <w:p w:rsidR="00AB4DE4" w:rsidRDefault="005754F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B4DE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400" w:lineRule="exact"/>
              <w:jc w:val="center"/>
              <w:rPr>
                <w:sz w:val="15"/>
                <w:szCs w:val="15"/>
              </w:rPr>
            </w:pPr>
            <w:r>
              <w:rPr>
                <w:rFonts w:hint="eastAsia"/>
                <w:b/>
                <w:bCs/>
                <w:color w:val="3D3D3D"/>
                <w:kern w:val="0"/>
                <w:sz w:val="15"/>
                <w:szCs w:val="15"/>
              </w:rPr>
              <w:t>机构投资者</w:t>
            </w:r>
          </w:p>
        </w:tc>
      </w:tr>
      <w:tr w:rsidR="00AB4DE4">
        <w:tc>
          <w:tcPr>
            <w:tcW w:w="9287" w:type="dxa"/>
            <w:tcBorders>
              <w:top w:val="single" w:sz="4" w:space="0" w:color="auto"/>
              <w:left w:val="single" w:sz="4" w:space="0" w:color="auto"/>
              <w:bottom w:val="single" w:sz="4" w:space="0" w:color="auto"/>
              <w:right w:val="single" w:sz="4" w:space="0" w:color="auto"/>
              <w:tl2br w:val="nil"/>
              <w:tr2bl w:val="nil"/>
            </w:tcBorders>
          </w:tcPr>
          <w:p w:rsidR="00AB4DE4" w:rsidRDefault="00AB4DE4">
            <w:pPr>
              <w:widowControl/>
              <w:spacing w:line="200" w:lineRule="exact"/>
              <w:jc w:val="left"/>
              <w:rPr>
                <w:b/>
                <w:bCs/>
                <w:color w:val="3D3D3D"/>
                <w:kern w:val="0"/>
                <w:sz w:val="15"/>
                <w:szCs w:val="15"/>
              </w:rPr>
            </w:pPr>
          </w:p>
          <w:p w:rsidR="00AB4DE4" w:rsidRDefault="005754F6">
            <w:pPr>
              <w:widowControl/>
              <w:spacing w:line="200" w:lineRule="exact"/>
              <w:jc w:val="left"/>
              <w:rPr>
                <w:b/>
                <w:bCs/>
                <w:color w:val="3D3D3D"/>
                <w:kern w:val="0"/>
                <w:sz w:val="15"/>
                <w:szCs w:val="15"/>
              </w:rPr>
            </w:pPr>
            <w:r>
              <w:rPr>
                <w:rFonts w:hint="eastAsia"/>
                <w:b/>
                <w:bCs/>
                <w:color w:val="3D3D3D"/>
                <w:kern w:val="0"/>
                <w:sz w:val="15"/>
                <w:szCs w:val="15"/>
              </w:rPr>
              <w:t>盖章（公章）</w:t>
            </w:r>
          </w:p>
          <w:p w:rsidR="00AB4DE4" w:rsidRDefault="00AB4DE4">
            <w:pPr>
              <w:widowControl/>
              <w:spacing w:line="200" w:lineRule="exact"/>
              <w:jc w:val="left"/>
              <w:rPr>
                <w:b/>
                <w:bCs/>
                <w:color w:val="3D3D3D"/>
                <w:kern w:val="0"/>
                <w:sz w:val="15"/>
                <w:szCs w:val="15"/>
              </w:rPr>
            </w:pPr>
          </w:p>
          <w:p w:rsidR="00AB4DE4" w:rsidRDefault="005754F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B4DE4" w:rsidRDefault="00AB4DE4">
            <w:pPr>
              <w:widowControl/>
              <w:spacing w:line="200" w:lineRule="exact"/>
              <w:jc w:val="left"/>
              <w:rPr>
                <w:color w:val="3D3D3D"/>
                <w:kern w:val="0"/>
                <w:sz w:val="13"/>
                <w:szCs w:val="13"/>
              </w:rPr>
            </w:pPr>
          </w:p>
          <w:p w:rsidR="00AB4DE4" w:rsidRDefault="005754F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B4DE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B4DE4">
        <w:tc>
          <w:tcPr>
            <w:tcW w:w="9287" w:type="dxa"/>
            <w:tcBorders>
              <w:top w:val="single" w:sz="4" w:space="0" w:color="auto"/>
              <w:left w:val="single" w:sz="4" w:space="0" w:color="auto"/>
              <w:bottom w:val="single" w:sz="4" w:space="0" w:color="auto"/>
              <w:right w:val="single" w:sz="4" w:space="0" w:color="auto"/>
              <w:tl2br w:val="nil"/>
              <w:tr2bl w:val="nil"/>
            </w:tcBorders>
          </w:tcPr>
          <w:p w:rsidR="00AB4DE4" w:rsidRDefault="005754F6">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B4DE4" w:rsidRDefault="005754F6">
      <w:r>
        <w:br w:type="page"/>
      </w:r>
    </w:p>
    <w:p w:rsidR="00AB4DE4" w:rsidRDefault="005754F6">
      <w:pPr>
        <w:pStyle w:val="Normal4428ca59"/>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AB4DE4" w:rsidRDefault="005754F6">
      <w:pPr>
        <w:pStyle w:val="Normal4428ca5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B4DE4" w:rsidRDefault="005754F6">
      <w:pPr>
        <w:pStyle w:val="NormalWeb7a633bfc"/>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B4DE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南银理财珠联璧合鑫悦享</w:t>
            </w:r>
            <w:r>
              <w:rPr>
                <w:rFonts w:hint="eastAsia"/>
                <w:kern w:val="0"/>
                <w:sz w:val="18"/>
                <w:szCs w:val="18"/>
              </w:rPr>
              <w:t>1908</w:t>
            </w:r>
            <w:r>
              <w:rPr>
                <w:rFonts w:hint="eastAsia"/>
                <w:kern w:val="0"/>
                <w:sz w:val="18"/>
                <w:szCs w:val="18"/>
              </w:rPr>
              <w:t>三个月定开公募人民币理财产品</w:t>
            </w:r>
          </w:p>
        </w:tc>
      </w:tr>
      <w:tr w:rsidR="00AB4DE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B4DE4" w:rsidRDefault="005754F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B4DE4" w:rsidRDefault="005754F6">
            <w:pPr>
              <w:widowControl/>
              <w:spacing w:line="200" w:lineRule="exact"/>
              <w:jc w:val="left"/>
              <w:rPr>
                <w:kern w:val="0"/>
                <w:sz w:val="18"/>
                <w:szCs w:val="18"/>
              </w:rPr>
            </w:pPr>
            <w:r>
              <w:rPr>
                <w:rFonts w:hint="eastAsia"/>
                <w:kern w:val="0"/>
                <w:sz w:val="18"/>
                <w:szCs w:val="18"/>
              </w:rPr>
              <w:t>定期开放式、固定收益类、公募、净值型</w:t>
            </w:r>
          </w:p>
        </w:tc>
      </w:tr>
      <w:tr w:rsidR="00AB4DE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B4DE4" w:rsidRDefault="005754F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B4DE4" w:rsidRDefault="005754F6">
            <w:pPr>
              <w:widowControl/>
              <w:spacing w:line="200" w:lineRule="exact"/>
              <w:jc w:val="left"/>
              <w:rPr>
                <w:kern w:val="0"/>
                <w:sz w:val="18"/>
                <w:szCs w:val="18"/>
              </w:rPr>
            </w:pPr>
            <w:r>
              <w:rPr>
                <w:rFonts w:hint="eastAsia"/>
                <w:kern w:val="0"/>
                <w:sz w:val="18"/>
                <w:szCs w:val="18"/>
              </w:rPr>
              <w:t>公开募集</w:t>
            </w:r>
          </w:p>
        </w:tc>
      </w:tr>
      <w:tr w:rsidR="00AB4DE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ZC108691944633</w:t>
            </w:r>
          </w:p>
        </w:tc>
      </w:tr>
      <w:tr w:rsidR="00AB4DE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cs="宋体" w:hint="eastAsia"/>
                <w:kern w:val="0"/>
                <w:sz w:val="18"/>
                <w:szCs w:val="18"/>
              </w:rPr>
              <w:t>Z7003220000007(</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AB4DE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rPr>
                <w:rFonts w:cs="宋体"/>
                <w:sz w:val="18"/>
                <w:szCs w:val="18"/>
              </w:rPr>
            </w:pPr>
            <w:r>
              <w:rPr>
                <w:rFonts w:cs="宋体" w:hint="eastAsia"/>
                <w:sz w:val="18"/>
                <w:szCs w:val="18"/>
              </w:rPr>
              <w:t>E</w:t>
            </w:r>
            <w:r>
              <w:rPr>
                <w:rFonts w:cs="宋体"/>
                <w:sz w:val="18"/>
                <w:szCs w:val="18"/>
              </w:rPr>
              <w:t>份额：</w:t>
            </w:r>
            <w:r>
              <w:rPr>
                <w:rFonts w:cs="宋体"/>
                <w:sz w:val="18"/>
                <w:szCs w:val="18"/>
              </w:rPr>
              <w:t>ZA4000</w:t>
            </w:r>
            <w:r>
              <w:rPr>
                <w:rFonts w:cs="宋体" w:hint="eastAsia"/>
                <w:sz w:val="18"/>
                <w:szCs w:val="18"/>
              </w:rPr>
              <w:t>1</w:t>
            </w:r>
          </w:p>
          <w:p w:rsidR="00AB4DE4" w:rsidRDefault="005754F6">
            <w:pPr>
              <w:spacing w:line="200" w:lineRule="exact"/>
            </w:pPr>
            <w:r>
              <w:rPr>
                <w:rFonts w:cs="宋体"/>
                <w:sz w:val="18"/>
                <w:szCs w:val="18"/>
              </w:rPr>
              <w:t>F</w:t>
            </w:r>
            <w:r>
              <w:rPr>
                <w:rFonts w:cs="宋体"/>
                <w:sz w:val="18"/>
                <w:szCs w:val="18"/>
              </w:rPr>
              <w:t>份额：</w:t>
            </w:r>
            <w:r>
              <w:rPr>
                <w:rFonts w:cs="宋体"/>
                <w:sz w:val="18"/>
                <w:szCs w:val="18"/>
              </w:rPr>
              <w:t>ZA40002</w:t>
            </w:r>
          </w:p>
          <w:p w:rsidR="00AB4DE4" w:rsidRDefault="005754F6">
            <w:pPr>
              <w:spacing w:line="200" w:lineRule="exact"/>
            </w:pPr>
            <w:r>
              <w:rPr>
                <w:rFonts w:cs="宋体"/>
                <w:sz w:val="18"/>
                <w:szCs w:val="18"/>
              </w:rPr>
              <w:t>G</w:t>
            </w:r>
            <w:r>
              <w:rPr>
                <w:rFonts w:cs="宋体"/>
                <w:sz w:val="18"/>
                <w:szCs w:val="18"/>
              </w:rPr>
              <w:t>份额：</w:t>
            </w:r>
            <w:r>
              <w:rPr>
                <w:rFonts w:cs="宋体"/>
                <w:sz w:val="18"/>
                <w:szCs w:val="18"/>
              </w:rPr>
              <w:t>ZA40003</w:t>
            </w:r>
          </w:p>
          <w:p w:rsidR="00AB4DE4" w:rsidRDefault="005754F6">
            <w:pPr>
              <w:spacing w:line="200" w:lineRule="exact"/>
            </w:pPr>
            <w:r>
              <w:rPr>
                <w:rFonts w:cs="宋体"/>
                <w:sz w:val="18"/>
                <w:szCs w:val="18"/>
              </w:rPr>
              <w:t>H</w:t>
            </w:r>
            <w:r>
              <w:rPr>
                <w:rFonts w:cs="宋体"/>
                <w:sz w:val="18"/>
                <w:szCs w:val="18"/>
              </w:rPr>
              <w:t>份额：</w:t>
            </w:r>
            <w:r>
              <w:rPr>
                <w:rFonts w:cs="宋体"/>
                <w:sz w:val="18"/>
                <w:szCs w:val="18"/>
              </w:rPr>
              <w:t>ZB40001</w:t>
            </w:r>
          </w:p>
          <w:p w:rsidR="00AB4DE4" w:rsidRDefault="005754F6">
            <w:pPr>
              <w:spacing w:line="200" w:lineRule="exact"/>
            </w:pPr>
            <w:r>
              <w:rPr>
                <w:rFonts w:cs="宋体"/>
                <w:sz w:val="18"/>
                <w:szCs w:val="18"/>
              </w:rPr>
              <w:t>I</w:t>
            </w:r>
            <w:r>
              <w:rPr>
                <w:rFonts w:cs="宋体"/>
                <w:sz w:val="18"/>
                <w:szCs w:val="18"/>
              </w:rPr>
              <w:t>份额：</w:t>
            </w:r>
            <w:r>
              <w:rPr>
                <w:rFonts w:cs="宋体"/>
                <w:sz w:val="18"/>
                <w:szCs w:val="18"/>
              </w:rPr>
              <w:t>ZB40002</w:t>
            </w:r>
          </w:p>
          <w:p w:rsidR="00AB4DE4" w:rsidRDefault="005754F6">
            <w:pPr>
              <w:spacing w:line="200" w:lineRule="exact"/>
            </w:pPr>
            <w:r>
              <w:rPr>
                <w:rFonts w:cs="宋体"/>
                <w:sz w:val="18"/>
                <w:szCs w:val="18"/>
              </w:rPr>
              <w:t>J</w:t>
            </w:r>
            <w:r>
              <w:rPr>
                <w:rFonts w:cs="宋体"/>
                <w:sz w:val="18"/>
                <w:szCs w:val="18"/>
              </w:rPr>
              <w:t>份额：</w:t>
            </w:r>
            <w:r>
              <w:rPr>
                <w:rFonts w:cs="宋体"/>
                <w:sz w:val="18"/>
                <w:szCs w:val="18"/>
              </w:rPr>
              <w:t>ZB40003</w:t>
            </w:r>
          </w:p>
          <w:p w:rsidR="00AB4DE4" w:rsidRDefault="005754F6">
            <w:pPr>
              <w:spacing w:line="200" w:lineRule="exact"/>
            </w:pPr>
            <w:r>
              <w:rPr>
                <w:rFonts w:cs="宋体"/>
                <w:sz w:val="18"/>
                <w:szCs w:val="18"/>
              </w:rPr>
              <w:t>K</w:t>
            </w:r>
            <w:r>
              <w:rPr>
                <w:rFonts w:cs="宋体"/>
                <w:sz w:val="18"/>
                <w:szCs w:val="18"/>
              </w:rPr>
              <w:t>份额：</w:t>
            </w:r>
            <w:r>
              <w:rPr>
                <w:rFonts w:cs="宋体"/>
                <w:sz w:val="18"/>
                <w:szCs w:val="18"/>
              </w:rPr>
              <w:t>ZC40001</w:t>
            </w:r>
          </w:p>
          <w:p w:rsidR="00AB4DE4" w:rsidRDefault="005754F6">
            <w:pPr>
              <w:spacing w:line="200" w:lineRule="exact"/>
            </w:pPr>
            <w:r>
              <w:rPr>
                <w:rFonts w:cs="宋体"/>
                <w:sz w:val="18"/>
                <w:szCs w:val="18"/>
              </w:rPr>
              <w:t>L</w:t>
            </w:r>
            <w:r>
              <w:rPr>
                <w:rFonts w:cs="宋体"/>
                <w:sz w:val="18"/>
                <w:szCs w:val="18"/>
              </w:rPr>
              <w:t>份额：</w:t>
            </w:r>
            <w:r>
              <w:rPr>
                <w:rFonts w:cs="宋体"/>
                <w:sz w:val="18"/>
                <w:szCs w:val="18"/>
              </w:rPr>
              <w:t>ZC40002</w:t>
            </w:r>
          </w:p>
          <w:p w:rsidR="00AB4DE4" w:rsidRDefault="005754F6">
            <w:pPr>
              <w:spacing w:line="200" w:lineRule="exact"/>
            </w:pPr>
            <w:r>
              <w:rPr>
                <w:rFonts w:cs="宋体"/>
                <w:sz w:val="18"/>
                <w:szCs w:val="18"/>
              </w:rPr>
              <w:t>M</w:t>
            </w:r>
            <w:r>
              <w:rPr>
                <w:rFonts w:cs="宋体"/>
                <w:sz w:val="18"/>
                <w:szCs w:val="18"/>
              </w:rPr>
              <w:t>份额：</w:t>
            </w:r>
            <w:r>
              <w:rPr>
                <w:rFonts w:cs="宋体"/>
                <w:sz w:val="18"/>
                <w:szCs w:val="18"/>
              </w:rPr>
              <w:t>ZC40003</w:t>
            </w:r>
          </w:p>
          <w:p w:rsidR="00AB4DE4" w:rsidRDefault="005754F6">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B4DE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AB4DE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全国</w:t>
            </w:r>
          </w:p>
        </w:tc>
      </w:tr>
      <w:tr w:rsidR="00AB4DE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widowControl/>
              <w:spacing w:line="200" w:lineRule="exact"/>
              <w:jc w:val="left"/>
              <w:textAlignment w:val="center"/>
              <w:rPr>
                <w:kern w:val="0"/>
                <w:sz w:val="18"/>
                <w:szCs w:val="18"/>
              </w:rPr>
            </w:pPr>
            <w:r>
              <w:rPr>
                <w:rFonts w:hint="eastAsia"/>
                <w:kern w:val="0"/>
                <w:sz w:val="18"/>
                <w:szCs w:val="18"/>
              </w:rPr>
              <w:t>人民币</w:t>
            </w:r>
          </w:p>
        </w:tc>
      </w:tr>
      <w:tr w:rsidR="00AB4DE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AB4DE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AB4DE4" w:rsidRDefault="005754F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B4DE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rPr>
                <w:rFonts w:cs="宋体"/>
                <w:sz w:val="18"/>
                <w:szCs w:val="18"/>
              </w:rPr>
            </w:pPr>
            <w:r>
              <w:rPr>
                <w:rFonts w:cs="宋体"/>
                <w:sz w:val="18"/>
                <w:szCs w:val="18"/>
              </w:rPr>
              <w:t>符合相关法律法规、监管规定要求的，经销售机构的风险承受能力评估体系评定为适合的个人和机构投资者。</w:t>
            </w:r>
          </w:p>
          <w:p w:rsidR="00AB4DE4" w:rsidRDefault="005754F6">
            <w:pPr>
              <w:spacing w:line="200" w:lineRule="exact"/>
              <w:jc w:val="left"/>
              <w:rPr>
                <w:rFonts w:cs="宋体"/>
                <w:sz w:val="18"/>
                <w:szCs w:val="18"/>
              </w:rPr>
            </w:pPr>
            <w:r>
              <w:rPr>
                <w:rFonts w:cs="宋体"/>
                <w:sz w:val="18"/>
                <w:szCs w:val="18"/>
              </w:rPr>
              <w:t>E</w:t>
            </w:r>
            <w:r>
              <w:rPr>
                <w:rFonts w:cs="宋体"/>
                <w:sz w:val="18"/>
                <w:szCs w:val="18"/>
              </w:rPr>
              <w:t>份额</w:t>
            </w:r>
            <w:r>
              <w:rPr>
                <w:rFonts w:cs="宋体"/>
                <w:sz w:val="18"/>
                <w:szCs w:val="18"/>
              </w:rPr>
              <w:t>/</w:t>
            </w:r>
            <w:r>
              <w:rPr>
                <w:rFonts w:cs="宋体" w:hint="eastAsia"/>
                <w:sz w:val="18"/>
                <w:szCs w:val="18"/>
              </w:rPr>
              <w:t>H</w:t>
            </w:r>
            <w:r>
              <w:rPr>
                <w:rFonts w:cs="宋体"/>
                <w:sz w:val="18"/>
                <w:szCs w:val="18"/>
              </w:rPr>
              <w:t>份额</w:t>
            </w:r>
            <w:r>
              <w:rPr>
                <w:rFonts w:cs="宋体"/>
                <w:sz w:val="18"/>
                <w:szCs w:val="18"/>
              </w:rPr>
              <w:t>/</w:t>
            </w:r>
            <w:r>
              <w:rPr>
                <w:rFonts w:cs="宋体" w:hint="eastAsia"/>
                <w:sz w:val="18"/>
                <w:szCs w:val="18"/>
              </w:rPr>
              <w:t>K</w:t>
            </w:r>
            <w:r>
              <w:rPr>
                <w:rFonts w:cs="宋体"/>
                <w:sz w:val="18"/>
                <w:szCs w:val="18"/>
              </w:rPr>
              <w:t>份额：中原银行股份有限公司客户</w:t>
            </w:r>
          </w:p>
          <w:p w:rsidR="00AB4DE4" w:rsidRDefault="005754F6">
            <w:pPr>
              <w:spacing w:line="200" w:lineRule="exact"/>
              <w:jc w:val="left"/>
              <w:rPr>
                <w:rFonts w:cs="宋体"/>
                <w:sz w:val="18"/>
                <w:szCs w:val="18"/>
              </w:rPr>
            </w:pPr>
            <w:r>
              <w:rPr>
                <w:rFonts w:cs="宋体" w:hint="eastAsia"/>
                <w:sz w:val="18"/>
                <w:szCs w:val="18"/>
              </w:rPr>
              <w:t>F</w:t>
            </w:r>
            <w:r>
              <w:rPr>
                <w:rFonts w:cs="宋体"/>
                <w:sz w:val="18"/>
                <w:szCs w:val="18"/>
              </w:rPr>
              <w:t>份额</w:t>
            </w:r>
            <w:r>
              <w:rPr>
                <w:rFonts w:cs="宋体"/>
                <w:sz w:val="18"/>
                <w:szCs w:val="18"/>
              </w:rPr>
              <w:t>/</w:t>
            </w:r>
            <w:r>
              <w:rPr>
                <w:rFonts w:cs="宋体" w:hint="eastAsia"/>
                <w:sz w:val="18"/>
                <w:szCs w:val="18"/>
              </w:rPr>
              <w:t>I</w:t>
            </w:r>
            <w:r>
              <w:rPr>
                <w:rFonts w:cs="宋体"/>
                <w:sz w:val="18"/>
                <w:szCs w:val="18"/>
              </w:rPr>
              <w:t>份额</w:t>
            </w:r>
            <w:r>
              <w:rPr>
                <w:rFonts w:cs="宋体"/>
                <w:sz w:val="18"/>
                <w:szCs w:val="18"/>
              </w:rPr>
              <w:t>/</w:t>
            </w:r>
            <w:r>
              <w:rPr>
                <w:rFonts w:cs="宋体" w:hint="eastAsia"/>
                <w:sz w:val="18"/>
                <w:szCs w:val="18"/>
              </w:rPr>
              <w:t>L</w:t>
            </w:r>
            <w:r>
              <w:rPr>
                <w:rFonts w:cs="宋体"/>
                <w:sz w:val="18"/>
                <w:szCs w:val="18"/>
              </w:rPr>
              <w:t>份额：兴业银行股份有限公司客户</w:t>
            </w:r>
          </w:p>
          <w:p w:rsidR="00AB4DE4" w:rsidRDefault="005754F6">
            <w:pPr>
              <w:spacing w:line="200" w:lineRule="exact"/>
              <w:jc w:val="left"/>
            </w:pPr>
            <w:r>
              <w:rPr>
                <w:rFonts w:cs="宋体" w:hint="eastAsia"/>
                <w:sz w:val="18"/>
                <w:szCs w:val="18"/>
              </w:rPr>
              <w:t>G</w:t>
            </w:r>
            <w:r>
              <w:rPr>
                <w:rFonts w:cs="宋体"/>
                <w:sz w:val="18"/>
                <w:szCs w:val="18"/>
              </w:rPr>
              <w:t>份额</w:t>
            </w:r>
            <w:r>
              <w:rPr>
                <w:rFonts w:cs="宋体" w:hint="eastAsia"/>
                <w:sz w:val="18"/>
                <w:szCs w:val="18"/>
              </w:rPr>
              <w:t>J</w:t>
            </w:r>
            <w:r>
              <w:rPr>
                <w:rFonts w:cs="宋体"/>
                <w:sz w:val="18"/>
                <w:szCs w:val="18"/>
              </w:rPr>
              <w:t>份额</w:t>
            </w:r>
            <w:r>
              <w:rPr>
                <w:rFonts w:cs="宋体"/>
                <w:sz w:val="18"/>
                <w:szCs w:val="18"/>
              </w:rPr>
              <w:t>/</w:t>
            </w:r>
            <w:r>
              <w:rPr>
                <w:rFonts w:cs="宋体" w:hint="eastAsia"/>
                <w:sz w:val="18"/>
                <w:szCs w:val="18"/>
              </w:rPr>
              <w:t>M</w:t>
            </w:r>
            <w:r>
              <w:rPr>
                <w:rFonts w:cs="宋体"/>
                <w:sz w:val="18"/>
                <w:szCs w:val="18"/>
              </w:rPr>
              <w:t>份额：青岛银行股份有限公司客户</w:t>
            </w:r>
          </w:p>
        </w:tc>
      </w:tr>
      <w:tr w:rsidR="00AB4DE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AB4DE4" w:rsidRDefault="005754F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B4DE4" w:rsidRDefault="005754F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B4DE4" w:rsidRDefault="005754F6">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AB4DE4" w:rsidRDefault="005754F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AB4DE4" w:rsidRDefault="005754F6">
            <w:pPr>
              <w:spacing w:line="200" w:lineRule="exact"/>
            </w:pPr>
            <w:r>
              <w:rPr>
                <w:rFonts w:cs="宋体"/>
                <w:sz w:val="18"/>
                <w:szCs w:val="18"/>
              </w:rPr>
              <w:t>个人投资者：单个投资者持有金额上限</w:t>
            </w:r>
            <w:r>
              <w:rPr>
                <w:rFonts w:cs="宋体"/>
                <w:sz w:val="18"/>
                <w:szCs w:val="18"/>
              </w:rPr>
              <w:t>5</w:t>
            </w:r>
            <w:r>
              <w:rPr>
                <w:rFonts w:cs="宋体"/>
                <w:sz w:val="18"/>
                <w:szCs w:val="18"/>
              </w:rPr>
              <w:t>亿；</w:t>
            </w:r>
          </w:p>
          <w:p w:rsidR="00AB4DE4" w:rsidRDefault="005754F6">
            <w:pPr>
              <w:spacing w:line="200" w:lineRule="exact"/>
            </w:pPr>
            <w:r>
              <w:rPr>
                <w:rFonts w:cs="宋体"/>
                <w:sz w:val="18"/>
                <w:szCs w:val="18"/>
              </w:rPr>
              <w:t>机构投资者：单个投资者持有金额上限</w:t>
            </w:r>
            <w:r>
              <w:rPr>
                <w:rFonts w:cs="宋体"/>
                <w:sz w:val="18"/>
                <w:szCs w:val="18"/>
              </w:rPr>
              <w:t>5</w:t>
            </w:r>
            <w:r>
              <w:rPr>
                <w:rFonts w:cs="宋体"/>
                <w:sz w:val="18"/>
                <w:szCs w:val="18"/>
              </w:rPr>
              <w:t>亿；</w:t>
            </w:r>
          </w:p>
          <w:p w:rsidR="00AB4DE4" w:rsidRDefault="005754F6">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B4DE4" w:rsidRDefault="005754F6">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B4DE4" w:rsidRDefault="005754F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14</w:t>
            </w:r>
            <w:r>
              <w:rPr>
                <w:rFonts w:cs="宋体"/>
                <w:color w:val="000000"/>
                <w:sz w:val="18"/>
                <w:szCs w:val="18"/>
              </w:rPr>
              <w:t>日</w:t>
            </w:r>
            <w:r>
              <w:rPr>
                <w:rFonts w:cs="宋体"/>
                <w:color w:val="000000"/>
                <w:sz w:val="18"/>
                <w:szCs w:val="18"/>
              </w:rPr>
              <w:t xml:space="preserve"> 09:00—2019</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B4DE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本理财产品每个封闭期为三个月，当期封闭期起止时间以公告为准。</w:t>
            </w:r>
          </w:p>
        </w:tc>
      </w:tr>
      <w:tr w:rsidR="00AB4DE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rPr>
                <w:color w:val="000000"/>
                <w:kern w:val="0"/>
                <w:sz w:val="18"/>
                <w:szCs w:val="18"/>
              </w:rPr>
            </w:pPr>
            <w:r>
              <w:rPr>
                <w:rFonts w:hint="eastAsia"/>
                <w:color w:val="000000"/>
                <w:kern w:val="0"/>
                <w:sz w:val="18"/>
                <w:szCs w:val="18"/>
              </w:rPr>
              <w:t>同产品成立日</w:t>
            </w:r>
          </w:p>
        </w:tc>
      </w:tr>
      <w:tr w:rsidR="00AB4DE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22</w:t>
            </w:r>
            <w:r>
              <w:rPr>
                <w:rFonts w:hint="eastAsia"/>
                <w:kern w:val="0"/>
                <w:sz w:val="18"/>
                <w:szCs w:val="18"/>
              </w:rPr>
              <w:t>日</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2019</w:t>
            </w:r>
            <w:r>
              <w:rPr>
                <w:rFonts w:cs="宋体"/>
                <w:sz w:val="18"/>
                <w:szCs w:val="18"/>
              </w:rPr>
              <w:t>年</w:t>
            </w:r>
            <w:r>
              <w:rPr>
                <w:rFonts w:cs="宋体"/>
                <w:sz w:val="18"/>
                <w:szCs w:val="18"/>
              </w:rPr>
              <w:t>08</w:t>
            </w:r>
            <w:r>
              <w:rPr>
                <w:rFonts w:cs="宋体"/>
                <w:sz w:val="18"/>
                <w:szCs w:val="18"/>
              </w:rPr>
              <w:t>月</w:t>
            </w:r>
            <w:r>
              <w:rPr>
                <w:rFonts w:cs="宋体"/>
                <w:sz w:val="18"/>
                <w:szCs w:val="18"/>
              </w:rPr>
              <w:t>22</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AB4DE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AB4DE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本理财产品存续期内按每三个月开放申购，如遇节假日调整，申购开放日和申购确认日以公告为准。</w:t>
            </w:r>
          </w:p>
        </w:tc>
      </w:tr>
      <w:tr w:rsidR="00AB4DE4">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本理财产品存续期内按每三个月开放赎回，如遇节假日调整，赎回开放日和赎回确认日以公告为准，投资者可提交赎回申请，系统不自动赎回。产品终止时，产品将对所有份额进行强制赎回。</w:t>
            </w:r>
          </w:p>
        </w:tc>
      </w:tr>
      <w:tr w:rsidR="00AB4DE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AB4DE4" w:rsidRDefault="005754F6">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AB4DE4" w:rsidRDefault="005754F6">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AB4DE4" w:rsidRDefault="005754F6">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AB4DE4" w:rsidRDefault="005754F6">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AB4DE4">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AB4DE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本理财产品每个投资周期为三个月，当期投资周期起止时间以公告为准。</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持有一个投资周期后，在每个投资周期终止日前由系统自动为投资者的所有持仓份额发起赎回申请，管理人于投资周期终止日对赎回申请予以统一确认，上一投资周期投资者的所有持仓份额不会进入下一个投资周期。</w:t>
            </w:r>
          </w:p>
          <w:p w:rsidR="00AB4DE4" w:rsidRDefault="005754F6">
            <w:pPr>
              <w:spacing w:line="200" w:lineRule="exact"/>
            </w:pP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份额：本投资周期终止日为</w:t>
            </w:r>
            <w:r>
              <w:rPr>
                <w:rFonts w:cs="宋体"/>
                <w:sz w:val="18"/>
                <w:szCs w:val="18"/>
              </w:rPr>
              <w:t>2025</w:t>
            </w:r>
            <w:r>
              <w:rPr>
                <w:rFonts w:cs="宋体"/>
                <w:sz w:val="18"/>
                <w:szCs w:val="18"/>
              </w:rPr>
              <w:t>年</w:t>
            </w:r>
            <w:r>
              <w:rPr>
                <w:rFonts w:cs="宋体"/>
                <w:sz w:val="18"/>
                <w:szCs w:val="18"/>
              </w:rPr>
              <w:t>6</w:t>
            </w:r>
            <w:r>
              <w:rPr>
                <w:rFonts w:cs="宋体"/>
                <w:sz w:val="18"/>
                <w:szCs w:val="18"/>
              </w:rPr>
              <w:t>月</w:t>
            </w:r>
            <w:r>
              <w:rPr>
                <w:rFonts w:cs="宋体"/>
                <w:sz w:val="18"/>
                <w:szCs w:val="18"/>
              </w:rPr>
              <w:t>12</w:t>
            </w:r>
            <w:r>
              <w:rPr>
                <w:rFonts w:cs="宋体"/>
                <w:sz w:val="18"/>
                <w:szCs w:val="18"/>
              </w:rPr>
              <w:t>日；</w:t>
            </w:r>
          </w:p>
          <w:p w:rsidR="00AB4DE4" w:rsidRDefault="005754F6">
            <w:pPr>
              <w:spacing w:line="200" w:lineRule="exact"/>
            </w:pP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份额：本投资周期终止日为</w:t>
            </w:r>
            <w:r>
              <w:rPr>
                <w:rFonts w:cs="宋体"/>
                <w:sz w:val="18"/>
                <w:szCs w:val="18"/>
              </w:rPr>
              <w:t>2025</w:t>
            </w:r>
            <w:r>
              <w:rPr>
                <w:rFonts w:cs="宋体"/>
                <w:sz w:val="18"/>
                <w:szCs w:val="18"/>
              </w:rPr>
              <w:t>年</w:t>
            </w:r>
            <w:r>
              <w:rPr>
                <w:rFonts w:cs="宋体"/>
                <w:sz w:val="18"/>
                <w:szCs w:val="18"/>
              </w:rPr>
              <w:t>6</w:t>
            </w:r>
            <w:r>
              <w:rPr>
                <w:rFonts w:cs="宋体"/>
                <w:sz w:val="18"/>
                <w:szCs w:val="18"/>
              </w:rPr>
              <w:t>月</w:t>
            </w:r>
            <w:r>
              <w:rPr>
                <w:rFonts w:cs="宋体"/>
                <w:sz w:val="18"/>
                <w:szCs w:val="18"/>
              </w:rPr>
              <w:t>19</w:t>
            </w:r>
            <w:r>
              <w:rPr>
                <w:rFonts w:cs="宋体"/>
                <w:sz w:val="18"/>
                <w:szCs w:val="18"/>
              </w:rPr>
              <w:t>日；</w:t>
            </w:r>
          </w:p>
          <w:p w:rsidR="00AB4DE4" w:rsidRDefault="005754F6">
            <w:pPr>
              <w:spacing w:line="200" w:lineRule="exact"/>
            </w:pP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份额：本投资周期终止日为</w:t>
            </w:r>
            <w:r>
              <w:rPr>
                <w:rFonts w:cs="宋体"/>
                <w:sz w:val="18"/>
                <w:szCs w:val="18"/>
              </w:rPr>
              <w:t>2025</w:t>
            </w:r>
            <w:r>
              <w:rPr>
                <w:rFonts w:cs="宋体"/>
                <w:sz w:val="18"/>
                <w:szCs w:val="18"/>
              </w:rPr>
              <w:t>年</w:t>
            </w:r>
            <w:r>
              <w:rPr>
                <w:rFonts w:cs="宋体"/>
                <w:sz w:val="18"/>
                <w:szCs w:val="18"/>
              </w:rPr>
              <w:t>6</w:t>
            </w:r>
            <w:r>
              <w:rPr>
                <w:rFonts w:cs="宋体"/>
                <w:sz w:val="18"/>
                <w:szCs w:val="18"/>
              </w:rPr>
              <w:t>月</w:t>
            </w:r>
            <w:r>
              <w:rPr>
                <w:rFonts w:cs="宋体"/>
                <w:sz w:val="18"/>
                <w:szCs w:val="18"/>
              </w:rPr>
              <w:t>26</w:t>
            </w:r>
            <w:r>
              <w:rPr>
                <w:rFonts w:cs="宋体"/>
                <w:sz w:val="18"/>
                <w:szCs w:val="18"/>
              </w:rPr>
              <w:t>日；</w:t>
            </w:r>
          </w:p>
        </w:tc>
      </w:tr>
      <w:tr w:rsidR="00AB4DE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R</w:t>
            </w:r>
            <w:r>
              <w:rPr>
                <w:rFonts w:cs="宋体"/>
                <w:sz w:val="18"/>
                <w:szCs w:val="18"/>
              </w:rPr>
              <w:t>为赎回确认日理财产品单位净值（已扣除相关费用）。赎回金额以去尾法保留两位小数。</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color w:val="000000"/>
                <w:kern w:val="0"/>
                <w:sz w:val="18"/>
                <w:szCs w:val="18"/>
              </w:rPr>
              <w:t>份额运作周期</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本理财产品每个封闭期为三个月，当期封闭期起止时间以公告为准。</w:t>
            </w:r>
          </w:p>
        </w:tc>
      </w:tr>
      <w:tr w:rsidR="00AB4DE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AB4DE4" w:rsidRDefault="005754F6">
            <w:pPr>
              <w:spacing w:line="200" w:lineRule="exact"/>
            </w:pPr>
            <w:r>
              <w:rPr>
                <w:rFonts w:cs="宋体"/>
                <w:sz w:val="18"/>
                <w:szCs w:val="18"/>
              </w:rPr>
              <w:t>产品到期后，理财产品管理人和代销机构将根据理财资金所投资资产实际运作情况向投资者分配到期款项。</w:t>
            </w:r>
          </w:p>
        </w:tc>
      </w:tr>
      <w:tr w:rsidR="00AB4DE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AB4DE4" w:rsidRDefault="005754F6">
            <w:pPr>
              <w:spacing w:line="200" w:lineRule="exact"/>
              <w:jc w:val="left"/>
            </w:pPr>
            <w:r>
              <w:rPr>
                <w:rFonts w:cs="宋体"/>
                <w:sz w:val="18"/>
                <w:szCs w:val="18"/>
              </w:rPr>
              <w:t>分红权益登记日指管理人确认投资者所持份额是否享受本次分红的日期。</w:t>
            </w:r>
          </w:p>
        </w:tc>
      </w:tr>
      <w:tr w:rsidR="00AB4DE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sz w:val="18"/>
                <w:szCs w:val="18"/>
              </w:rPr>
              <w:t>本理财产品募集的资金投资于以下金融资产和金融工具，包括但不限于：</w:t>
            </w:r>
          </w:p>
          <w:p w:rsidR="00AB4DE4" w:rsidRDefault="005754F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B4DE4" w:rsidRDefault="005754F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AB4DE4" w:rsidRDefault="005754F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AB4DE4" w:rsidRDefault="005754F6">
            <w:pPr>
              <w:spacing w:line="200" w:lineRule="exact"/>
              <w:jc w:val="left"/>
            </w:pPr>
            <w:r>
              <w:rPr>
                <w:rFonts w:cs="宋体"/>
                <w:sz w:val="18"/>
                <w:szCs w:val="18"/>
              </w:rPr>
              <w:t>4.</w:t>
            </w:r>
            <w:r>
              <w:rPr>
                <w:rFonts w:cs="宋体"/>
                <w:sz w:val="18"/>
                <w:szCs w:val="18"/>
              </w:rPr>
              <w:t>公开募集基础设施证券投资基金等符合监管要求的公募证券投资基金；</w:t>
            </w:r>
          </w:p>
          <w:p w:rsidR="00AB4DE4" w:rsidRDefault="005754F6">
            <w:pPr>
              <w:spacing w:line="200" w:lineRule="exact"/>
              <w:jc w:val="left"/>
            </w:pPr>
            <w:r>
              <w:rPr>
                <w:rFonts w:cs="宋体"/>
                <w:sz w:val="18"/>
                <w:szCs w:val="18"/>
              </w:rPr>
              <w:t>5.</w:t>
            </w:r>
            <w:r>
              <w:rPr>
                <w:rFonts w:cs="宋体"/>
                <w:sz w:val="18"/>
                <w:szCs w:val="18"/>
              </w:rPr>
              <w:t>投资范围为上述资产的信托计划、资产管理计划等资产管理产品；</w:t>
            </w:r>
          </w:p>
          <w:p w:rsidR="00AB4DE4" w:rsidRDefault="005754F6">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AB4DE4" w:rsidRDefault="005754F6">
            <w:pPr>
              <w:spacing w:line="200" w:lineRule="exac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B4DE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35%</w:t>
            </w:r>
            <w:r>
              <w:rPr>
                <w:rFonts w:cs="宋体"/>
                <w:sz w:val="18"/>
                <w:szCs w:val="18"/>
              </w:rPr>
              <w:t>。</w:t>
            </w:r>
          </w:p>
          <w:p w:rsidR="00AB4DE4" w:rsidRDefault="005754F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B4DE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通过对宏观经济、政策环境、市场状况和资金供求的深入分析，对债券资产行业和品种的深入分析，自上而下进行积极主动的资产配置，构建合理的投资组合方案。力争控制回撤幅度，追求稳健的投资回报。本理财产品投资的信用类债券评级不低于</w:t>
            </w:r>
            <w:r>
              <w:rPr>
                <w:rFonts w:cs="宋体"/>
                <w:sz w:val="18"/>
                <w:szCs w:val="18"/>
              </w:rPr>
              <w:t>AA</w:t>
            </w:r>
            <w:r>
              <w:rPr>
                <w:rFonts w:cs="宋体"/>
                <w:sz w:val="18"/>
                <w:szCs w:val="18"/>
              </w:rPr>
              <w:t>。</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E</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F</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G</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H</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I</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J</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K</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L</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pPr>
            <w:r>
              <w:rPr>
                <w:rFonts w:cs="宋体"/>
                <w:sz w:val="18"/>
                <w:szCs w:val="18"/>
              </w:rPr>
              <w:t>M</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AB4DE4" w:rsidRDefault="005754F6">
            <w:pPr>
              <w:spacing w:line="200" w:lineRule="exact"/>
              <w:jc w:val="lef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，投资于非标准化债权类资产的比例不超过</w:t>
            </w:r>
            <w:r>
              <w:rPr>
                <w:rFonts w:cs="宋体"/>
                <w:sz w:val="18"/>
                <w:szCs w:val="18"/>
              </w:rPr>
              <w:t>35%</w:t>
            </w:r>
            <w:r>
              <w:rPr>
                <w:rFonts w:cs="宋体"/>
                <w:sz w:val="18"/>
                <w:szCs w:val="18"/>
              </w:rPr>
              <w:t>。结合债券市场和拟投资的非标准化债权类资产的收益和波动水平预判，在本理财产品约定的投资策略基础上，管理人设定了本理财产品投资周期内业绩比较基准。</w:t>
            </w:r>
          </w:p>
          <w:p w:rsidR="00AB4DE4" w:rsidRDefault="005754F6">
            <w:pPr>
              <w:spacing w:line="200" w:lineRule="exact"/>
              <w:jc w:val="left"/>
            </w:pPr>
            <w:r>
              <w:rPr>
                <w:rFonts w:cs="宋体"/>
                <w:sz w:val="18"/>
                <w:szCs w:val="18"/>
              </w:rPr>
              <w:t>注：管理人可根据市场情况对业绩比较基准进行适当调整，如有调整，将至少于调整前</w:t>
            </w:r>
            <w:r>
              <w:rPr>
                <w:rFonts w:cs="宋体"/>
                <w:sz w:val="18"/>
                <w:szCs w:val="18"/>
              </w:rPr>
              <w:t>3</w:t>
            </w:r>
            <w:r>
              <w:rPr>
                <w:rFonts w:cs="宋体"/>
                <w:sz w:val="18"/>
                <w:szCs w:val="18"/>
              </w:rPr>
              <w:t>个工作日公布调整方案。</w:t>
            </w:r>
          </w:p>
          <w:p w:rsidR="00AB4DE4" w:rsidRDefault="005754F6">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B4DE4" w:rsidRDefault="005754F6">
            <w:pPr>
              <w:spacing w:line="200" w:lineRule="exact"/>
            </w:pPr>
            <w:r>
              <w:rPr>
                <w:rFonts w:cs="宋体"/>
                <w:b/>
                <w:sz w:val="18"/>
                <w:szCs w:val="18"/>
              </w:rPr>
              <w:t>赎回费：本理财产品暂不收取赎回费。</w:t>
            </w:r>
          </w:p>
          <w:p w:rsidR="00AB4DE4" w:rsidRDefault="005754F6">
            <w:pPr>
              <w:spacing w:line="200" w:lineRule="exact"/>
            </w:pPr>
            <w:r>
              <w:rPr>
                <w:rFonts w:cs="宋体"/>
                <w:b/>
                <w:sz w:val="18"/>
                <w:szCs w:val="18"/>
              </w:rPr>
              <w:t>销售费：本理财产品按前一日理财产品资产净值收取销售费，按日计提。</w:t>
            </w:r>
          </w:p>
          <w:p w:rsidR="00AB4DE4" w:rsidRDefault="005754F6">
            <w:pPr>
              <w:spacing w:line="200" w:lineRule="exact"/>
            </w:pPr>
            <w:r>
              <w:rPr>
                <w:rFonts w:cs="宋体"/>
                <w:b/>
                <w:sz w:val="18"/>
                <w:szCs w:val="18"/>
              </w:rPr>
              <w:t>E</w:t>
            </w:r>
            <w:r>
              <w:rPr>
                <w:rFonts w:cs="宋体"/>
                <w:b/>
                <w:sz w:val="18"/>
                <w:szCs w:val="18"/>
              </w:rPr>
              <w:t>份额：销售费年化</w:t>
            </w:r>
            <w:r>
              <w:rPr>
                <w:rFonts w:cs="宋体"/>
                <w:b/>
                <w:sz w:val="18"/>
                <w:szCs w:val="18"/>
              </w:rPr>
              <w:t>0.3%</w:t>
            </w:r>
          </w:p>
          <w:p w:rsidR="00AB4DE4" w:rsidRDefault="005754F6">
            <w:pPr>
              <w:spacing w:line="200" w:lineRule="exact"/>
            </w:pPr>
            <w:r>
              <w:rPr>
                <w:rFonts w:cs="宋体"/>
                <w:b/>
                <w:sz w:val="18"/>
                <w:szCs w:val="18"/>
              </w:rPr>
              <w:t>F</w:t>
            </w:r>
            <w:r>
              <w:rPr>
                <w:rFonts w:cs="宋体"/>
                <w:b/>
                <w:sz w:val="18"/>
                <w:szCs w:val="18"/>
              </w:rPr>
              <w:t>份额：销售费年化</w:t>
            </w:r>
            <w:r>
              <w:rPr>
                <w:rFonts w:cs="宋体"/>
                <w:b/>
                <w:sz w:val="18"/>
                <w:szCs w:val="18"/>
              </w:rPr>
              <w:t>0.2%</w:t>
            </w:r>
          </w:p>
          <w:p w:rsidR="00AB4DE4" w:rsidRDefault="005754F6">
            <w:pPr>
              <w:spacing w:line="200" w:lineRule="exact"/>
            </w:pPr>
            <w:r>
              <w:rPr>
                <w:rFonts w:cs="宋体"/>
                <w:b/>
                <w:sz w:val="18"/>
                <w:szCs w:val="18"/>
              </w:rPr>
              <w:t>G</w:t>
            </w:r>
            <w:r>
              <w:rPr>
                <w:rFonts w:cs="宋体"/>
                <w:b/>
                <w:sz w:val="18"/>
                <w:szCs w:val="18"/>
              </w:rPr>
              <w:t>份额：销售费年化</w:t>
            </w:r>
            <w:r>
              <w:rPr>
                <w:rFonts w:cs="宋体"/>
                <w:b/>
                <w:sz w:val="18"/>
                <w:szCs w:val="18"/>
              </w:rPr>
              <w:t>0.1%</w:t>
            </w:r>
          </w:p>
          <w:p w:rsidR="00AB4DE4" w:rsidRDefault="005754F6">
            <w:pPr>
              <w:spacing w:line="200" w:lineRule="exact"/>
            </w:pPr>
            <w:r>
              <w:rPr>
                <w:rFonts w:cs="宋体"/>
                <w:b/>
                <w:sz w:val="18"/>
                <w:szCs w:val="18"/>
              </w:rPr>
              <w:t>H</w:t>
            </w:r>
            <w:r>
              <w:rPr>
                <w:rFonts w:cs="宋体"/>
                <w:b/>
                <w:sz w:val="18"/>
                <w:szCs w:val="18"/>
              </w:rPr>
              <w:t>份额：销售费年化</w:t>
            </w:r>
            <w:r>
              <w:rPr>
                <w:rFonts w:cs="宋体"/>
                <w:b/>
                <w:sz w:val="18"/>
                <w:szCs w:val="18"/>
              </w:rPr>
              <w:t>0.3%</w:t>
            </w:r>
          </w:p>
          <w:p w:rsidR="00AB4DE4" w:rsidRDefault="005754F6">
            <w:pPr>
              <w:spacing w:line="200" w:lineRule="exact"/>
            </w:pPr>
            <w:r>
              <w:rPr>
                <w:rFonts w:cs="宋体"/>
                <w:b/>
                <w:sz w:val="18"/>
                <w:szCs w:val="18"/>
              </w:rPr>
              <w:t>I</w:t>
            </w:r>
            <w:r>
              <w:rPr>
                <w:rFonts w:cs="宋体"/>
                <w:b/>
                <w:sz w:val="18"/>
                <w:szCs w:val="18"/>
              </w:rPr>
              <w:t>份额：销售费年化</w:t>
            </w:r>
            <w:r>
              <w:rPr>
                <w:rFonts w:cs="宋体"/>
                <w:b/>
                <w:sz w:val="18"/>
                <w:szCs w:val="18"/>
              </w:rPr>
              <w:t>0.2%</w:t>
            </w:r>
          </w:p>
          <w:p w:rsidR="00AB4DE4" w:rsidRDefault="005754F6">
            <w:pPr>
              <w:spacing w:line="200" w:lineRule="exact"/>
            </w:pPr>
            <w:r>
              <w:rPr>
                <w:rFonts w:cs="宋体"/>
                <w:b/>
                <w:sz w:val="18"/>
                <w:szCs w:val="18"/>
              </w:rPr>
              <w:t>J</w:t>
            </w:r>
            <w:r>
              <w:rPr>
                <w:rFonts w:cs="宋体"/>
                <w:b/>
                <w:sz w:val="18"/>
                <w:szCs w:val="18"/>
              </w:rPr>
              <w:t>份额：销售费年化</w:t>
            </w:r>
            <w:r>
              <w:rPr>
                <w:rFonts w:cs="宋体"/>
                <w:b/>
                <w:sz w:val="18"/>
                <w:szCs w:val="18"/>
              </w:rPr>
              <w:t>0.1%</w:t>
            </w:r>
          </w:p>
          <w:p w:rsidR="00AB4DE4" w:rsidRDefault="005754F6">
            <w:pPr>
              <w:spacing w:line="200" w:lineRule="exact"/>
            </w:pPr>
            <w:r>
              <w:rPr>
                <w:rFonts w:cs="宋体"/>
                <w:b/>
                <w:sz w:val="18"/>
                <w:szCs w:val="18"/>
              </w:rPr>
              <w:t>K</w:t>
            </w:r>
            <w:r>
              <w:rPr>
                <w:rFonts w:cs="宋体"/>
                <w:b/>
                <w:sz w:val="18"/>
                <w:szCs w:val="18"/>
              </w:rPr>
              <w:t>份额：销售费年化</w:t>
            </w:r>
            <w:r>
              <w:rPr>
                <w:rFonts w:cs="宋体"/>
                <w:b/>
                <w:sz w:val="18"/>
                <w:szCs w:val="18"/>
              </w:rPr>
              <w:t>0.3%</w:t>
            </w:r>
          </w:p>
          <w:p w:rsidR="00AB4DE4" w:rsidRDefault="005754F6">
            <w:pPr>
              <w:spacing w:line="200" w:lineRule="exact"/>
            </w:pPr>
            <w:r>
              <w:rPr>
                <w:rFonts w:cs="宋体"/>
                <w:b/>
                <w:sz w:val="18"/>
                <w:szCs w:val="18"/>
              </w:rPr>
              <w:t>L</w:t>
            </w:r>
            <w:r>
              <w:rPr>
                <w:rFonts w:cs="宋体"/>
                <w:b/>
                <w:sz w:val="18"/>
                <w:szCs w:val="18"/>
              </w:rPr>
              <w:t>份额：销售费年化</w:t>
            </w:r>
            <w:r>
              <w:rPr>
                <w:rFonts w:cs="宋体"/>
                <w:b/>
                <w:sz w:val="18"/>
                <w:szCs w:val="18"/>
              </w:rPr>
              <w:t>0.2%</w:t>
            </w:r>
          </w:p>
          <w:p w:rsidR="00AB4DE4" w:rsidRDefault="005754F6">
            <w:pPr>
              <w:spacing w:line="200" w:lineRule="exact"/>
            </w:pPr>
            <w:r>
              <w:rPr>
                <w:rFonts w:cs="宋体"/>
                <w:b/>
                <w:sz w:val="18"/>
                <w:szCs w:val="18"/>
              </w:rPr>
              <w:t>M</w:t>
            </w:r>
            <w:r>
              <w:rPr>
                <w:rFonts w:cs="宋体"/>
                <w:b/>
                <w:sz w:val="18"/>
                <w:szCs w:val="18"/>
              </w:rPr>
              <w:t>份额：销售费年化</w:t>
            </w:r>
            <w:r>
              <w:rPr>
                <w:rFonts w:cs="宋体"/>
                <w:b/>
                <w:sz w:val="18"/>
                <w:szCs w:val="18"/>
              </w:rPr>
              <w:t>0.1%</w:t>
            </w:r>
          </w:p>
          <w:p w:rsidR="00AB4DE4" w:rsidRDefault="005754F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AB4DE4" w:rsidRDefault="005754F6">
            <w:pPr>
              <w:spacing w:line="200" w:lineRule="exact"/>
            </w:pPr>
            <w:r>
              <w:rPr>
                <w:rFonts w:cs="宋体"/>
                <w:b/>
                <w:sz w:val="18"/>
                <w:szCs w:val="18"/>
              </w:rPr>
              <w:t>固定管理费：本理财产品按前一日理财产品资产净值收取固定管理费，按日计提。</w:t>
            </w:r>
          </w:p>
          <w:p w:rsidR="00AB4DE4" w:rsidRDefault="005754F6">
            <w:pPr>
              <w:spacing w:line="200" w:lineRule="exact"/>
            </w:pPr>
            <w:r>
              <w:rPr>
                <w:rFonts w:cs="宋体"/>
                <w:b/>
                <w:sz w:val="18"/>
                <w:szCs w:val="18"/>
              </w:rPr>
              <w:t>E</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F</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G</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H</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I</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J</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K</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L</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M</w:t>
            </w:r>
            <w:r>
              <w:rPr>
                <w:rFonts w:cs="宋体"/>
                <w:b/>
                <w:sz w:val="18"/>
                <w:szCs w:val="18"/>
              </w:rPr>
              <w:t>份额：固定管理费年化</w:t>
            </w:r>
            <w:r>
              <w:rPr>
                <w:rFonts w:cs="宋体"/>
                <w:b/>
                <w:sz w:val="18"/>
                <w:szCs w:val="18"/>
              </w:rPr>
              <w:t>0.25%</w:t>
            </w:r>
          </w:p>
          <w:p w:rsidR="00AB4DE4" w:rsidRDefault="005754F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AB4DE4" w:rsidRDefault="005754F6">
            <w:pPr>
              <w:spacing w:line="200" w:lineRule="exact"/>
            </w:pPr>
            <w:r>
              <w:rPr>
                <w:rFonts w:cs="宋体"/>
                <w:b/>
                <w:sz w:val="18"/>
                <w:szCs w:val="18"/>
              </w:rPr>
              <w:t>托管费：</w:t>
            </w:r>
          </w:p>
          <w:p w:rsidR="00AB4DE4" w:rsidRDefault="005754F6">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AB4DE4" w:rsidRDefault="005754F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AB4DE4" w:rsidRDefault="005754F6">
            <w:pPr>
              <w:spacing w:line="200" w:lineRule="exact"/>
            </w:pPr>
            <w:r>
              <w:rPr>
                <w:rFonts w:cs="宋体"/>
                <w:b/>
                <w:sz w:val="18"/>
                <w:szCs w:val="18"/>
              </w:rPr>
              <w:t>业绩报酬：本理财产品暂不收取业绩报酬。</w:t>
            </w:r>
          </w:p>
          <w:p w:rsidR="00AB4DE4" w:rsidRDefault="005754F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w:t>
            </w:r>
            <w:r>
              <w:rPr>
                <w:rFonts w:cs="宋体"/>
                <w:b/>
                <w:sz w:val="18"/>
                <w:szCs w:val="18"/>
              </w:rPr>
              <w:t>由理财产品承担的费用等，按照实际发生时从理财产品中列支。如发生以上费用，将通过本理财产品的定期报告等进行信息披露。</w:t>
            </w:r>
          </w:p>
        </w:tc>
      </w:tr>
      <w:tr w:rsidR="00AB4DE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color w:val="000000"/>
                <w:sz w:val="18"/>
                <w:szCs w:val="18"/>
              </w:rPr>
              <w:t>具体参见本理财产品风险揭示书。</w:t>
            </w:r>
          </w:p>
          <w:p w:rsidR="00AB4DE4" w:rsidRDefault="005754F6">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AB4DE4" w:rsidRDefault="005754F6">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AB4DE4" w:rsidRDefault="005754F6">
            <w:pPr>
              <w:spacing w:line="200" w:lineRule="exact"/>
              <w:jc w:val="left"/>
            </w:pPr>
            <w:r>
              <w:rPr>
                <w:rFonts w:cs="宋体"/>
                <w:color w:val="000000"/>
                <w:sz w:val="18"/>
                <w:szCs w:val="18"/>
              </w:rPr>
              <w:t>二是为应对投资者的赎回，被迫以不适当的价格卖出债券或赎回基金；</w:t>
            </w:r>
          </w:p>
          <w:p w:rsidR="00AB4DE4" w:rsidRDefault="005754F6">
            <w:pPr>
              <w:spacing w:line="200" w:lineRule="exact"/>
              <w:jc w:val="left"/>
            </w:pPr>
            <w:r>
              <w:rPr>
                <w:rFonts w:cs="宋体"/>
                <w:color w:val="000000"/>
                <w:sz w:val="18"/>
                <w:szCs w:val="18"/>
              </w:rPr>
              <w:t>三是若投资资产包括非标准化债权类资产，可能由于资产缺少流动性而难以变现。</w:t>
            </w:r>
          </w:p>
          <w:p w:rsidR="00AB4DE4" w:rsidRDefault="005754F6">
            <w:pPr>
              <w:spacing w:line="200" w:lineRule="exact"/>
              <w:jc w:val="left"/>
            </w:pPr>
            <w:r>
              <w:rPr>
                <w:rFonts w:cs="宋体"/>
                <w:color w:val="000000"/>
                <w:sz w:val="18"/>
                <w:szCs w:val="18"/>
              </w:rPr>
              <w:t>以上情形均可能使产品净值受到不利影响。</w:t>
            </w:r>
          </w:p>
        </w:tc>
      </w:tr>
      <w:tr w:rsidR="00AB4DE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B4DE4" w:rsidRDefault="005754F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B4DE4" w:rsidRDefault="005754F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B4DE4" w:rsidRDefault="005754F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B4DE4" w:rsidRDefault="005754F6">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AB4DE4" w:rsidRDefault="005754F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B4DE4" w:rsidRDefault="005754F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B4DE4" w:rsidRDefault="005754F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sz w:val="18"/>
                <w:szCs w:val="18"/>
              </w:rPr>
              <w:t>本理财产品销售机构为南银理财有限责任公司、兴业银行股份有限公司、青岛银行股份有限公司、中原银行股份有限公司。管理人有权调整本理财产品的销售机构并进行信息披露。</w:t>
            </w:r>
          </w:p>
          <w:p w:rsidR="00AB4DE4" w:rsidRDefault="005754F6">
            <w:pPr>
              <w:spacing w:line="200" w:lineRule="exact"/>
              <w:jc w:val="left"/>
            </w:pPr>
            <w:r>
              <w:rPr>
                <w:rFonts w:cs="宋体"/>
                <w:sz w:val="18"/>
                <w:szCs w:val="18"/>
              </w:rPr>
              <w:t>销售机构主要职责如下：</w:t>
            </w:r>
          </w:p>
          <w:p w:rsidR="00AB4DE4" w:rsidRDefault="005754F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B4DE4" w:rsidRDefault="005754F6">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AB4DE4" w:rsidRDefault="005754F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B4DE4" w:rsidRDefault="005754F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B4DE4" w:rsidRDefault="005754F6">
            <w:pPr>
              <w:spacing w:line="200" w:lineRule="exact"/>
              <w:jc w:val="left"/>
            </w:pPr>
            <w:r>
              <w:rPr>
                <w:rFonts w:cs="宋体"/>
                <w:sz w:val="18"/>
                <w:szCs w:val="18"/>
              </w:rPr>
              <w:t>5.</w:t>
            </w:r>
            <w:r>
              <w:rPr>
                <w:rFonts w:cs="宋体"/>
                <w:sz w:val="18"/>
                <w:szCs w:val="18"/>
              </w:rPr>
              <w:t>建立健全投资者权益保护管理体系，加强投资者适当性管理；</w:t>
            </w:r>
          </w:p>
          <w:p w:rsidR="00AB4DE4" w:rsidRDefault="005754F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B4DE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本理财产品托管人为南京银行股份有限公司，主要职责如下：</w:t>
            </w:r>
          </w:p>
          <w:p w:rsidR="00AB4DE4" w:rsidRDefault="005754F6">
            <w:pPr>
              <w:spacing w:line="200" w:lineRule="exact"/>
            </w:pPr>
            <w:r>
              <w:rPr>
                <w:rFonts w:cs="宋体"/>
                <w:sz w:val="18"/>
                <w:szCs w:val="18"/>
              </w:rPr>
              <w:t>1.</w:t>
            </w:r>
            <w:r>
              <w:rPr>
                <w:rFonts w:cs="宋体"/>
                <w:sz w:val="18"/>
                <w:szCs w:val="18"/>
              </w:rPr>
              <w:t>安全保管理财产品财产；</w:t>
            </w:r>
          </w:p>
          <w:p w:rsidR="00AB4DE4" w:rsidRDefault="005754F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B4DE4" w:rsidRDefault="005754F6">
            <w:pPr>
              <w:spacing w:line="200" w:lineRule="exact"/>
            </w:pPr>
            <w:r>
              <w:rPr>
                <w:rFonts w:cs="宋体"/>
                <w:sz w:val="18"/>
                <w:szCs w:val="18"/>
              </w:rPr>
              <w:t>3.</w:t>
            </w:r>
            <w:r>
              <w:rPr>
                <w:rFonts w:cs="宋体"/>
                <w:sz w:val="18"/>
                <w:szCs w:val="18"/>
              </w:rPr>
              <w:t>按照托管协议约定和管理人的投资指令，及时办理清算、交割事宜；</w:t>
            </w:r>
          </w:p>
          <w:p w:rsidR="00AB4DE4" w:rsidRDefault="005754F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B4DE4" w:rsidRDefault="005754F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AB4DE4" w:rsidRDefault="005754F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B4DE4" w:rsidRDefault="005754F6">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B4DE4" w:rsidRDefault="005754F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B4DE4" w:rsidRDefault="005754F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B4DE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color w:val="000000"/>
                <w:sz w:val="18"/>
                <w:szCs w:val="18"/>
              </w:rPr>
              <w:t>本理财产品单个开放日净赎回申请超过前一产品工作日日终本理财产品总份额的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AB4DE4" w:rsidRDefault="005754F6">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AB4DE4" w:rsidRDefault="005754F6">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w:t>
            </w:r>
            <w:r>
              <w:rPr>
                <w:rFonts w:cs="宋体"/>
                <w:color w:val="000000"/>
                <w:sz w:val="18"/>
                <w:szCs w:val="18"/>
              </w:rPr>
              <w:t>赎回申请管理人可暂停接受或延期办理。</w:t>
            </w:r>
          </w:p>
          <w:p w:rsidR="00AB4DE4" w:rsidRDefault="005754F6">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）对于接受赎回申请的部分，管理人将按单个投资者的赎回申请份额占当日所有投资者的净赎回申请总份额的比例，确认该投资者当日办理的赎回申请份额。</w:t>
            </w:r>
          </w:p>
          <w:p w:rsidR="00AB4DE4" w:rsidRDefault="005754F6">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AB4DE4" w:rsidRDefault="005754F6">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w:t>
            </w:r>
            <w:r>
              <w:rPr>
                <w:rFonts w:cs="宋体"/>
                <w:color w:val="000000"/>
                <w:sz w:val="18"/>
                <w:szCs w:val="18"/>
              </w:rPr>
              <w:t>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采取措施。具体服务投资者可详询代销机构，最终以代销机构提供的服务为准。</w:t>
            </w:r>
          </w:p>
        </w:tc>
      </w:tr>
      <w:tr w:rsidR="00AB4DE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AB4DE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发生下列情形时，管理人可暂停接受认申购申请：</w:t>
            </w:r>
          </w:p>
          <w:p w:rsidR="00AB4DE4" w:rsidRDefault="005754F6">
            <w:pPr>
              <w:spacing w:line="200" w:lineRule="exact"/>
            </w:pPr>
            <w:r>
              <w:rPr>
                <w:rFonts w:cs="宋体"/>
                <w:sz w:val="18"/>
                <w:szCs w:val="18"/>
              </w:rPr>
              <w:t>1.</w:t>
            </w:r>
            <w:r>
              <w:rPr>
                <w:rFonts w:cs="宋体"/>
                <w:sz w:val="18"/>
                <w:szCs w:val="18"/>
              </w:rPr>
              <w:t>因不可抗力导致理财产品无法正常运作；</w:t>
            </w:r>
          </w:p>
          <w:p w:rsidR="00AB4DE4" w:rsidRDefault="005754F6">
            <w:pPr>
              <w:spacing w:line="200" w:lineRule="exact"/>
            </w:pPr>
            <w:r>
              <w:rPr>
                <w:rFonts w:cs="宋体"/>
                <w:sz w:val="18"/>
                <w:szCs w:val="18"/>
              </w:rPr>
              <w:t>2.</w:t>
            </w:r>
            <w:r>
              <w:rPr>
                <w:rFonts w:cs="宋体"/>
                <w:sz w:val="18"/>
                <w:szCs w:val="18"/>
              </w:rPr>
              <w:t>因监管政策、市场发生重大变化，导致理财产品无法正常运作；</w:t>
            </w:r>
          </w:p>
          <w:p w:rsidR="00AB4DE4" w:rsidRDefault="005754F6">
            <w:pPr>
              <w:spacing w:line="200" w:lineRule="exact"/>
            </w:pPr>
            <w:r>
              <w:rPr>
                <w:rFonts w:cs="宋体"/>
                <w:sz w:val="18"/>
                <w:szCs w:val="18"/>
              </w:rPr>
              <w:t>3.</w:t>
            </w:r>
            <w:r>
              <w:rPr>
                <w:rFonts w:cs="宋体"/>
                <w:sz w:val="18"/>
                <w:szCs w:val="18"/>
              </w:rPr>
              <w:t>管理人认为需要暂停认申购的其他情形。</w:t>
            </w:r>
          </w:p>
          <w:p w:rsidR="00AB4DE4" w:rsidRDefault="005754F6">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AB4DE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AB4DE4" w:rsidRDefault="005754F6">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AB4DE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AB4DE4" w:rsidRDefault="005754F6">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AB4DE4" w:rsidRDefault="005754F6">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AB4DE4" w:rsidRDefault="005754F6">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AB4DE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B4DE4" w:rsidRDefault="005754F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B4DE4" w:rsidRDefault="005754F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B4DE4" w:rsidRDefault="005754F6">
      <w:pPr>
        <w:pStyle w:val="Normal4428ca5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B4DE4" w:rsidRDefault="005754F6">
      <w:pPr>
        <w:pStyle w:val="Normale7975616e797561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B4DE4" w:rsidRDefault="005754F6">
      <w:pPr>
        <w:pStyle w:val="Normale7975616e797561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B4DE4" w:rsidRDefault="005754F6">
      <w:pPr>
        <w:pStyle w:val="Normale7975616e797561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B4DE4" w:rsidRDefault="005754F6">
      <w:pPr>
        <w:pStyle w:val="Normale7975616e797561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B4DE4" w:rsidRDefault="005754F6">
      <w:pPr>
        <w:pStyle w:val="Normale7975616e797561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B4DE4" w:rsidRDefault="005754F6">
      <w:pPr>
        <w:pStyle w:val="Normale7975616e797561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B4DE4" w:rsidRDefault="005754F6">
      <w:pPr>
        <w:pStyle w:val="Normale7975616e797561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B4DE4" w:rsidRDefault="005754F6">
      <w:pPr>
        <w:pStyle w:val="Normale7975616e797561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南银理财珠联璧合鑫悦享</w:t>
      </w:r>
      <w:r>
        <w:rPr>
          <w:b/>
          <w:bCs/>
          <w:color w:val="3D3D3D"/>
          <w:kern w:val="0"/>
          <w:sz w:val="15"/>
          <w:szCs w:val="15"/>
        </w:rPr>
        <w:t>1908</w:t>
      </w:r>
      <w:r>
        <w:rPr>
          <w:b/>
          <w:bCs/>
          <w:color w:val="3D3D3D"/>
          <w:kern w:val="0"/>
          <w:sz w:val="15"/>
          <w:szCs w:val="15"/>
        </w:rPr>
        <w:t>三个月定开公募人民币理财产品</w:t>
      </w:r>
      <w:r>
        <w:rPr>
          <w:rFonts w:hint="eastAsia"/>
          <w:color w:val="3D3D3D"/>
          <w:kern w:val="0"/>
          <w:sz w:val="15"/>
          <w:szCs w:val="15"/>
        </w:rPr>
        <w:t>。</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B4DE4" w:rsidRDefault="005754F6">
      <w:pPr>
        <w:pStyle w:val="Normale7975616e797561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AB4DE4" w:rsidRDefault="005754F6">
      <w:pPr>
        <w:pStyle w:val="Normale7975616e797561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B4DE4" w:rsidRDefault="005754F6">
      <w:pPr>
        <w:pStyle w:val="Normale7975616e797561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B4DE4" w:rsidRDefault="005754F6">
      <w:pPr>
        <w:pStyle w:val="Normale7975616e797561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AB4DE4" w:rsidRDefault="005754F6">
      <w:pPr>
        <w:pStyle w:val="124281744242817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B4DE4" w:rsidRDefault="005754F6">
      <w:pPr>
        <w:pStyle w:val="124281744242817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B4DE4" w:rsidRDefault="005754F6">
      <w:pPr>
        <w:pStyle w:val="124281744242817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B4DE4" w:rsidRDefault="005754F6">
      <w:pPr>
        <w:pStyle w:val="124281744242817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B4DE4" w:rsidRDefault="005754F6">
      <w:pPr>
        <w:pStyle w:val="124281744242817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B4DE4" w:rsidRDefault="005754F6">
      <w:pPr>
        <w:pStyle w:val="124281744242817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B4DE4" w:rsidRDefault="005754F6">
      <w:pPr>
        <w:pStyle w:val="Normale7975616e797561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B4DE4" w:rsidRDefault="005754F6">
      <w:pPr>
        <w:pStyle w:val="Normale7975616e797561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B4DE4" w:rsidRDefault="005754F6">
      <w:pPr>
        <w:pStyle w:val="Normale7975616e797561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B4DE4" w:rsidRDefault="005754F6">
      <w:pPr>
        <w:pStyle w:val="Normal4428ca5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B4DE4" w:rsidRDefault="005754F6">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AB4DE4" w:rsidRDefault="005754F6">
      <w:pPr>
        <w:spacing w:line="200" w:lineRule="exact"/>
        <w:ind w:firstLine="280"/>
        <w:jc w:val="left"/>
      </w:pPr>
      <w:r>
        <w:rPr>
          <w:rFonts w:cs="宋体"/>
          <w:sz w:val="15"/>
          <w:szCs w:val="20"/>
        </w:rPr>
        <w:t>情景示例一：产品赎回确认时，扣除所有税费后（如有业绩报酬，已扣除）的赎回确认每份额净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AB4DE4" w:rsidRDefault="005754F6">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AB4DE4" w:rsidRDefault="005754F6">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AB4DE4" w:rsidRDefault="005754F6">
      <w:pPr>
        <w:pStyle w:val="Normal4428ca59"/>
        <w:widowControl/>
        <w:spacing w:line="200" w:lineRule="exact"/>
        <w:ind w:firstLineChars="200" w:firstLine="300"/>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AB4DE4" w:rsidRDefault="005754F6">
      <w:pPr>
        <w:pStyle w:val="Normal4428ca59"/>
        <w:widowControl/>
        <w:spacing w:line="200" w:lineRule="exact"/>
        <w:ind w:firstLineChars="200" w:firstLine="300"/>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AB4DE4" w:rsidRDefault="005754F6">
      <w:pPr>
        <w:pStyle w:val="Normal4428ca5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B4DE4" w:rsidRDefault="005754F6">
      <w:pPr>
        <w:spacing w:line="200" w:lineRule="exact"/>
        <w:ind w:firstLine="300"/>
      </w:pPr>
      <w:r>
        <w:rPr>
          <w:rFonts w:cs="宋体"/>
          <w:sz w:val="15"/>
          <w:szCs w:val="20"/>
        </w:rPr>
        <w:t>（一）估值日</w:t>
      </w:r>
    </w:p>
    <w:p w:rsidR="00AB4DE4" w:rsidRDefault="005754F6">
      <w:pPr>
        <w:spacing w:line="200" w:lineRule="exact"/>
        <w:ind w:firstLine="300"/>
      </w:pPr>
      <w:r>
        <w:rPr>
          <w:rFonts w:cs="宋体"/>
          <w:sz w:val="15"/>
          <w:szCs w:val="20"/>
        </w:rPr>
        <w:t>本理财产品每个工作日进行估值。</w:t>
      </w:r>
    </w:p>
    <w:p w:rsidR="00AB4DE4" w:rsidRDefault="005754F6">
      <w:pPr>
        <w:spacing w:line="200" w:lineRule="exact"/>
        <w:ind w:firstLine="300"/>
      </w:pPr>
      <w:r>
        <w:rPr>
          <w:rFonts w:cs="宋体"/>
          <w:sz w:val="15"/>
          <w:szCs w:val="20"/>
        </w:rPr>
        <w:t>（二）估值对象</w:t>
      </w:r>
    </w:p>
    <w:p w:rsidR="00AB4DE4" w:rsidRDefault="005754F6">
      <w:pPr>
        <w:spacing w:line="200" w:lineRule="exact"/>
        <w:ind w:firstLine="300"/>
      </w:pPr>
      <w:r>
        <w:rPr>
          <w:rFonts w:cs="宋体"/>
          <w:sz w:val="15"/>
          <w:szCs w:val="20"/>
        </w:rPr>
        <w:t>本理财产品所拥有的所有资产及负债。</w:t>
      </w:r>
    </w:p>
    <w:p w:rsidR="00AB4DE4" w:rsidRDefault="005754F6">
      <w:pPr>
        <w:spacing w:line="200" w:lineRule="exact"/>
        <w:ind w:firstLine="300"/>
      </w:pPr>
      <w:r>
        <w:rPr>
          <w:rFonts w:cs="宋体"/>
          <w:sz w:val="15"/>
          <w:szCs w:val="20"/>
        </w:rPr>
        <w:t>（三）估值目的</w:t>
      </w:r>
    </w:p>
    <w:p w:rsidR="00AB4DE4" w:rsidRDefault="005754F6">
      <w:pPr>
        <w:spacing w:line="200" w:lineRule="exact"/>
        <w:ind w:firstLine="300"/>
      </w:pPr>
      <w:r>
        <w:rPr>
          <w:rFonts w:cs="宋体"/>
          <w:sz w:val="15"/>
          <w:szCs w:val="20"/>
        </w:rPr>
        <w:t>客观、准确反映理财产品的价值。</w:t>
      </w:r>
    </w:p>
    <w:p w:rsidR="00AB4DE4" w:rsidRDefault="005754F6">
      <w:pPr>
        <w:spacing w:line="200" w:lineRule="exact"/>
        <w:ind w:firstLine="300"/>
      </w:pPr>
      <w:r>
        <w:rPr>
          <w:rFonts w:cs="宋体"/>
          <w:sz w:val="15"/>
          <w:szCs w:val="20"/>
        </w:rPr>
        <w:t>（四）估值原则</w:t>
      </w:r>
    </w:p>
    <w:p w:rsidR="00AB4DE4" w:rsidRDefault="005754F6">
      <w:pPr>
        <w:spacing w:line="200" w:lineRule="exact"/>
        <w:ind w:firstLine="300"/>
      </w:pPr>
      <w:r>
        <w:rPr>
          <w:rFonts w:cs="宋体"/>
          <w:sz w:val="15"/>
          <w:szCs w:val="20"/>
        </w:rPr>
        <w:t>理财产品应坚持公允价值计量原则，符合会计准则和监管规定的范围内的可选择摊余成本法计量。</w:t>
      </w:r>
    </w:p>
    <w:p w:rsidR="00AB4DE4" w:rsidRDefault="005754F6">
      <w:pPr>
        <w:spacing w:line="200" w:lineRule="exact"/>
        <w:ind w:firstLine="300"/>
      </w:pPr>
      <w:r>
        <w:rPr>
          <w:rFonts w:cs="宋体"/>
          <w:sz w:val="15"/>
          <w:szCs w:val="20"/>
        </w:rPr>
        <w:t>（五）估值方法</w:t>
      </w:r>
    </w:p>
    <w:p w:rsidR="00AB4DE4" w:rsidRDefault="005754F6">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AB4DE4" w:rsidRDefault="005754F6">
      <w:pPr>
        <w:spacing w:line="200" w:lineRule="exact"/>
        <w:ind w:firstLine="280"/>
        <w:jc w:val="left"/>
      </w:pPr>
      <w:r>
        <w:rPr>
          <w:rFonts w:cs="宋体"/>
          <w:sz w:val="15"/>
          <w:szCs w:val="20"/>
        </w:rPr>
        <w:t>1.</w:t>
      </w:r>
      <w:r>
        <w:rPr>
          <w:rFonts w:cs="宋体"/>
          <w:sz w:val="15"/>
          <w:szCs w:val="20"/>
        </w:rPr>
        <w:t>银行存款、回购等货币市场工具</w:t>
      </w:r>
    </w:p>
    <w:p w:rsidR="00AB4DE4" w:rsidRDefault="005754F6">
      <w:pPr>
        <w:spacing w:line="200" w:lineRule="exact"/>
        <w:ind w:firstLine="280"/>
        <w:jc w:val="left"/>
      </w:pPr>
      <w:r>
        <w:rPr>
          <w:rFonts w:cs="宋体"/>
          <w:sz w:val="15"/>
          <w:szCs w:val="20"/>
        </w:rPr>
        <w:t>以本金列示，按商定的利率在实际持有期间内逐日计提。</w:t>
      </w:r>
    </w:p>
    <w:p w:rsidR="00AB4DE4" w:rsidRDefault="005754F6">
      <w:pPr>
        <w:spacing w:line="200" w:lineRule="exact"/>
        <w:ind w:firstLine="280"/>
        <w:jc w:val="left"/>
      </w:pPr>
      <w:r>
        <w:rPr>
          <w:rFonts w:cs="宋体"/>
          <w:color w:val="3D3D3D"/>
          <w:sz w:val="15"/>
          <w:szCs w:val="20"/>
        </w:rPr>
        <w:t>2.</w:t>
      </w:r>
      <w:r>
        <w:rPr>
          <w:rFonts w:cs="宋体"/>
          <w:color w:val="3D3D3D"/>
          <w:sz w:val="15"/>
          <w:szCs w:val="20"/>
        </w:rPr>
        <w:t>债券类资产</w:t>
      </w:r>
    </w:p>
    <w:p w:rsidR="00AB4DE4" w:rsidRDefault="005754F6">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AB4DE4" w:rsidRDefault="005754F6">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AB4DE4" w:rsidRDefault="005754F6">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w:t>
      </w:r>
      <w:r>
        <w:rPr>
          <w:rFonts w:cs="宋体"/>
          <w:color w:val="3D3D3D"/>
          <w:sz w:val="15"/>
          <w:szCs w:val="20"/>
        </w:rPr>
        <w:t>理减值计量模型或第三方减值计量结果进行预期信用损失的减值计提。</w:t>
      </w:r>
    </w:p>
    <w:p w:rsidR="00AB4DE4" w:rsidRDefault="005754F6">
      <w:pPr>
        <w:spacing w:line="200" w:lineRule="exact"/>
        <w:ind w:firstLine="280"/>
        <w:jc w:val="left"/>
      </w:pPr>
      <w:r>
        <w:rPr>
          <w:rFonts w:cs="宋体"/>
          <w:color w:val="3D3D3D"/>
          <w:sz w:val="15"/>
          <w:szCs w:val="20"/>
        </w:rPr>
        <w:t>4.</w:t>
      </w:r>
      <w:r>
        <w:rPr>
          <w:rFonts w:cs="宋体"/>
          <w:color w:val="3D3D3D"/>
          <w:sz w:val="15"/>
          <w:szCs w:val="20"/>
        </w:rPr>
        <w:t>证券投资基金</w:t>
      </w:r>
    </w:p>
    <w:p w:rsidR="00AB4DE4" w:rsidRDefault="005754F6">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AB4DE4" w:rsidRDefault="005754F6">
      <w:pPr>
        <w:spacing w:line="200" w:lineRule="exact"/>
        <w:ind w:firstLine="280"/>
        <w:jc w:val="left"/>
      </w:pPr>
      <w:r>
        <w:rPr>
          <w:rFonts w:cs="宋体"/>
          <w:color w:val="3D3D3D"/>
          <w:sz w:val="15"/>
          <w:szCs w:val="20"/>
        </w:rPr>
        <w:t>5.</w:t>
      </w:r>
      <w:r>
        <w:rPr>
          <w:rFonts w:cs="宋体"/>
          <w:color w:val="3D3D3D"/>
          <w:sz w:val="15"/>
          <w:szCs w:val="20"/>
        </w:rPr>
        <w:t>股权类资产</w:t>
      </w:r>
    </w:p>
    <w:p w:rsidR="00AB4DE4" w:rsidRDefault="005754F6">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AB4DE4" w:rsidRDefault="005754F6">
      <w:pPr>
        <w:spacing w:line="200" w:lineRule="exact"/>
        <w:ind w:firstLine="280"/>
        <w:jc w:val="left"/>
      </w:pPr>
      <w:r>
        <w:rPr>
          <w:rFonts w:cs="宋体"/>
          <w:color w:val="3D3D3D"/>
          <w:sz w:val="15"/>
          <w:szCs w:val="20"/>
        </w:rPr>
        <w:t>6.</w:t>
      </w:r>
      <w:r>
        <w:rPr>
          <w:rFonts w:cs="宋体"/>
          <w:color w:val="3D3D3D"/>
          <w:sz w:val="15"/>
          <w:szCs w:val="20"/>
        </w:rPr>
        <w:t>资管计划、信托计划等资产</w:t>
      </w:r>
    </w:p>
    <w:p w:rsidR="00AB4DE4" w:rsidRDefault="005754F6">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AB4DE4" w:rsidRDefault="005754F6">
      <w:pPr>
        <w:spacing w:line="200" w:lineRule="exact"/>
        <w:ind w:firstLine="280"/>
        <w:jc w:val="left"/>
      </w:pPr>
      <w:r>
        <w:rPr>
          <w:rFonts w:cs="宋体"/>
          <w:color w:val="3D3D3D"/>
          <w:sz w:val="15"/>
          <w:szCs w:val="20"/>
        </w:rPr>
        <w:t>7.</w:t>
      </w:r>
      <w:r>
        <w:rPr>
          <w:rFonts w:cs="宋体"/>
          <w:color w:val="3D3D3D"/>
          <w:sz w:val="15"/>
          <w:szCs w:val="20"/>
        </w:rPr>
        <w:t>其他资产</w:t>
      </w:r>
    </w:p>
    <w:p w:rsidR="00AB4DE4" w:rsidRDefault="005754F6">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AB4DE4" w:rsidRDefault="005754F6">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AB4DE4" w:rsidRDefault="005754F6">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如有新增事项或变更事项，按国家最新规定或管理人最新的约定估值。</w:t>
      </w:r>
    </w:p>
    <w:p w:rsidR="00AB4DE4" w:rsidRDefault="005754F6">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AB4DE4" w:rsidRDefault="005754F6">
      <w:pPr>
        <w:spacing w:line="200" w:lineRule="exact"/>
        <w:ind w:firstLine="300"/>
      </w:pPr>
      <w:r>
        <w:rPr>
          <w:rFonts w:cs="宋体"/>
          <w:sz w:val="15"/>
          <w:szCs w:val="20"/>
        </w:rPr>
        <w:t>（六）估值错误及暂停估值</w:t>
      </w:r>
    </w:p>
    <w:p w:rsidR="00AB4DE4" w:rsidRDefault="005754F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AB4DE4" w:rsidRDefault="005754F6">
      <w:pPr>
        <w:pStyle w:val="Normal4428ca5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B4DE4" w:rsidRDefault="005754F6">
      <w:pPr>
        <w:pStyle w:val="Normal4428ca59"/>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AB4DE4" w:rsidRDefault="005754F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B4DE4" w:rsidRDefault="005754F6">
      <w:pPr>
        <w:pStyle w:val="Normal4428ca59"/>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B4DE4" w:rsidRDefault="005754F6">
      <w:pPr>
        <w:pStyle w:val="Normal4428ca59"/>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B4DE4" w:rsidRDefault="005754F6">
      <w:pPr>
        <w:pStyle w:val="Normal4428ca5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B4DE4" w:rsidRDefault="005754F6">
      <w:pPr>
        <w:pStyle w:val="Normal4428ca5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B4DE4" w:rsidRDefault="005754F6">
      <w:pPr>
        <w:pStyle w:val="Normal4428ca5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B4DE4" w:rsidRDefault="005754F6">
      <w:pPr>
        <w:pStyle w:val="Normal4428ca5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AB4DE4" w:rsidRDefault="005754F6">
      <w:pPr>
        <w:pStyle w:val="Normal4428ca5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B4DE4" w:rsidRDefault="005754F6">
      <w:pPr>
        <w:pStyle w:val="Normal4428ca59"/>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AB4DE4" w:rsidRDefault="005754F6">
      <w:pPr>
        <w:pStyle w:val="Normal4428ca59"/>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B4DE4" w:rsidRDefault="005754F6">
      <w:pPr>
        <w:pStyle w:val="Normal4428ca59"/>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B4DE4" w:rsidRDefault="005754F6">
      <w:pPr>
        <w:pStyle w:val="Normal4428ca5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B4DE4" w:rsidRDefault="005754F6">
      <w:pPr>
        <w:pStyle w:val="Normal4428ca59"/>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B4DE4" w:rsidRDefault="005754F6">
      <w:pPr>
        <w:pStyle w:val="Normal4428ca59"/>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B4DE4" w:rsidRDefault="005754F6">
      <w:pPr>
        <w:pStyle w:val="Normal4428ca5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B4DE4" w:rsidRDefault="005754F6">
      <w:pPr>
        <w:pStyle w:val="Normal4428ca59"/>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B4DE4" w:rsidRDefault="005754F6">
      <w:pPr>
        <w:pStyle w:val="Normal4428ca59"/>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B4DE4" w:rsidRDefault="005754F6">
      <w:pPr>
        <w:pStyle w:val="Normal4428ca59"/>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B4DE4" w:rsidRDefault="005754F6">
      <w:pPr>
        <w:pStyle w:val="Normal4428ca59"/>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B4DE4" w:rsidRDefault="00AB4DE4">
      <w:pPr>
        <w:pStyle w:val="Normal4428ca59"/>
        <w:widowControl/>
        <w:rPr>
          <w:b/>
          <w:bCs/>
          <w:color w:val="3D3D3D"/>
          <w:kern w:val="0"/>
          <w:sz w:val="15"/>
          <w:szCs w:val="15"/>
        </w:rPr>
      </w:pPr>
    </w:p>
    <w:p w:rsidR="00AB4DE4" w:rsidRDefault="005754F6">
      <w:pPr>
        <w:pStyle w:val="Normal4428ca59"/>
        <w:widowControl/>
        <w:rPr>
          <w:b/>
          <w:bCs/>
          <w:color w:val="3D3D3D"/>
          <w:kern w:val="0"/>
          <w:sz w:val="15"/>
          <w:szCs w:val="15"/>
        </w:rPr>
      </w:pPr>
      <w:r>
        <w:rPr>
          <w:rFonts w:hint="eastAsia"/>
          <w:b/>
          <w:bCs/>
          <w:color w:val="3D3D3D"/>
          <w:kern w:val="0"/>
          <w:sz w:val="15"/>
          <w:szCs w:val="15"/>
        </w:rPr>
        <w:t>风险提示：</w:t>
      </w:r>
    </w:p>
    <w:p w:rsidR="00AB4DE4" w:rsidRDefault="005754F6">
      <w:pPr>
        <w:pStyle w:val="Normal4428ca59"/>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997E67" w:rsidRPr="00997E67" w:rsidRDefault="00997E67" w:rsidP="00997E67">
      <w:pPr>
        <w:jc w:val="center"/>
        <w:rPr>
          <w:rFonts w:ascii="黑体" w:eastAsia="黑体" w:hAnsi="宋体"/>
          <w:b/>
          <w:bCs/>
          <w:sz w:val="24"/>
          <w:szCs w:val="15"/>
          <w:u w:color="000000"/>
        </w:rPr>
      </w:pPr>
      <w:bookmarkStart w:id="1" w:name="_Hlk180829330"/>
      <w:bookmarkStart w:id="2" w:name="_Hlk188018406"/>
      <w:bookmarkStart w:id="3" w:name="_GoBack"/>
      <w:bookmarkEnd w:id="1"/>
      <w:r w:rsidRPr="00997E67">
        <w:rPr>
          <w:rFonts w:ascii="黑体" w:eastAsia="黑体" w:hAnsi="宋体" w:hint="eastAsia"/>
          <w:b/>
          <w:bCs/>
          <w:sz w:val="24"/>
          <w:szCs w:val="15"/>
          <w:u w:color="000000"/>
        </w:rPr>
        <w:t>投资者权益须知</w:t>
      </w:r>
    </w:p>
    <w:p w:rsidR="00997E67" w:rsidRPr="00997E67" w:rsidRDefault="00997E67" w:rsidP="00997E67">
      <w:pPr>
        <w:ind w:firstLineChars="200" w:firstLine="321"/>
        <w:jc w:val="center"/>
        <w:rPr>
          <w:rFonts w:ascii="宋体" w:hAnsi="宋体" w:hint="eastAsia"/>
          <w:b/>
          <w:i/>
          <w:sz w:val="16"/>
          <w:szCs w:val="15"/>
          <w:u w:val="single" w:color="000000"/>
        </w:rPr>
      </w:pPr>
    </w:p>
    <w:p w:rsidR="00997E67" w:rsidRPr="00997E67" w:rsidRDefault="00997E67" w:rsidP="00997E67">
      <w:pPr>
        <w:ind w:firstLineChars="200" w:firstLine="321"/>
        <w:jc w:val="center"/>
        <w:rPr>
          <w:rFonts w:ascii="宋体" w:hAnsi="宋体" w:hint="eastAsia"/>
          <w:b/>
          <w:i/>
          <w:sz w:val="16"/>
          <w:szCs w:val="15"/>
          <w:u w:val="single" w:color="000000"/>
        </w:rPr>
      </w:pPr>
      <w:r w:rsidRPr="00997E67">
        <w:rPr>
          <w:rFonts w:ascii="宋体" w:hAnsi="宋体" w:hint="eastAsia"/>
          <w:b/>
          <w:i/>
          <w:sz w:val="16"/>
          <w:szCs w:val="15"/>
          <w:u w:val="single" w:color="000000"/>
        </w:rPr>
        <w:t xml:space="preserve">“理财非存款、产品有风险、理财产品过往业绩不代表其未来表现，不等于理财产品实际收益，投资须谨慎！” </w:t>
      </w:r>
    </w:p>
    <w:p w:rsidR="00997E67" w:rsidRPr="00997E67" w:rsidRDefault="00997E67" w:rsidP="00997E67">
      <w:pPr>
        <w:widowControl/>
        <w:jc w:val="left"/>
        <w:rPr>
          <w:rFonts w:ascii="Times New Roman" w:hAnsi="Times New Roman" w:hint="eastAsia"/>
          <w:spacing w:val="10"/>
          <w:sz w:val="15"/>
          <w:szCs w:val="15"/>
          <w:u w:color="000000"/>
        </w:rPr>
      </w:pPr>
      <w:r w:rsidRPr="00997E67">
        <w:rPr>
          <w:rFonts w:ascii="Times New Roman" w:hAnsi="Times New Roman" w:hint="eastAsia"/>
          <w:spacing w:val="10"/>
          <w:sz w:val="15"/>
          <w:szCs w:val="15"/>
          <w:u w:color="000000"/>
        </w:rPr>
        <w:t>尊敬的投资者：</w:t>
      </w:r>
    </w:p>
    <w:p w:rsidR="00997E67" w:rsidRPr="00997E67" w:rsidRDefault="00997E67" w:rsidP="00997E67">
      <w:pPr>
        <w:widowControl/>
        <w:ind w:firstLineChars="200" w:firstLine="340"/>
        <w:rPr>
          <w:rFonts w:ascii="Times New Roman" w:hAnsi="Times New Roman"/>
          <w:spacing w:val="10"/>
          <w:sz w:val="15"/>
          <w:szCs w:val="15"/>
          <w:u w:color="000000"/>
        </w:rPr>
      </w:pPr>
      <w:r w:rsidRPr="00997E67">
        <w:rPr>
          <w:rFonts w:ascii="Times New Roman" w:hAnsi="Times New Roman" w:hint="eastAsia"/>
          <w:spacing w:val="10"/>
          <w:sz w:val="15"/>
          <w:szCs w:val="15"/>
          <w:u w:color="00000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97E67" w:rsidRPr="00997E67" w:rsidRDefault="00997E67" w:rsidP="00997E67">
      <w:pPr>
        <w:widowControl/>
        <w:ind w:firstLineChars="200" w:firstLine="340"/>
        <w:rPr>
          <w:rFonts w:ascii="Times New Roman" w:hAnsi="Times New Roman"/>
          <w:spacing w:val="10"/>
          <w:sz w:val="15"/>
          <w:szCs w:val="15"/>
          <w:u w:color="000000"/>
        </w:rPr>
      </w:pPr>
      <w:r w:rsidRPr="00997E67">
        <w:rPr>
          <w:rFonts w:ascii="Times New Roman" w:hAnsi="Times New Roman" w:hint="eastAsia"/>
          <w:spacing w:val="10"/>
          <w:sz w:val="15"/>
          <w:szCs w:val="15"/>
          <w:u w:color="000000"/>
        </w:rPr>
        <w:t>本理财产品指由南银理财作为管理人发行，并由</w:t>
      </w:r>
      <w:permStart w:id="1064843559" w:edGrp="everyone"/>
      <w:r w:rsidRPr="00997E67">
        <w:rPr>
          <w:rFonts w:ascii="Times New Roman" w:hAnsi="Times New Roman"/>
          <w:spacing w:val="10"/>
          <w:sz w:val="15"/>
          <w:szCs w:val="15"/>
          <w:u w:color="000000"/>
        </w:rPr>
        <w:t xml:space="preserve">       </w:t>
      </w:r>
      <w:permEnd w:id="1064843559"/>
      <w:r w:rsidRPr="00997E67">
        <w:rPr>
          <w:rFonts w:ascii="Times New Roman" w:hAnsi="Times New Roman" w:hint="eastAsia"/>
          <w:spacing w:val="10"/>
          <w:sz w:val="15"/>
          <w:szCs w:val="15"/>
          <w:u w:color="000000"/>
        </w:rPr>
        <w:t>（以下简称“销售机构”）销售的理财产品。</w:t>
      </w:r>
    </w:p>
    <w:p w:rsidR="00997E67" w:rsidRPr="00997E67" w:rsidRDefault="00997E67" w:rsidP="00997E67">
      <w:pPr>
        <w:widowControl/>
        <w:spacing w:before="102" w:after="102"/>
        <w:ind w:left="341"/>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第一条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理财产品购买流程说明</w:t>
      </w:r>
    </w:p>
    <w:p w:rsidR="00997E67" w:rsidRPr="00997E67" w:rsidRDefault="00997E67" w:rsidP="00997E67">
      <w:pPr>
        <w:widowControl/>
        <w:ind w:firstLineChars="200" w:firstLine="340"/>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（一）首次在销售机构购买理财产品的投资者应按销售机构的要求明确授权指定账户，用于本理财产品的理财资金划转及理财收益、到期清算分配资金的分配，提供并确认正确的联系方式。</w:t>
      </w:r>
    </w:p>
    <w:p w:rsidR="00997E67" w:rsidRPr="00997E67" w:rsidRDefault="00997E67" w:rsidP="00997E67">
      <w:pPr>
        <w:widowControl/>
        <w:ind w:firstLineChars="199"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（二）在销售机构购买理财产品的个人投资者应按销售机构的要求进行投资者风险承受能力评估，并确认风险承受能力等级不低于本理财产品风险等级。</w:t>
      </w:r>
    </w:p>
    <w:p w:rsidR="00997E67" w:rsidRPr="00997E67" w:rsidRDefault="00997E67" w:rsidP="00997E67">
      <w:pPr>
        <w:widowControl/>
        <w:ind w:firstLineChars="199"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（三）投资者应仔细阅读拟购买理财产品销售文件（以下简称“销售文件”），包括但不限于理财产品对应的：《理财产品销售协议书》《理财产品说明书》《理财产品风险揭示书》《投资者权益须知》</w:t>
      </w:r>
      <w:r w:rsidRPr="00997E67">
        <w:rPr>
          <w:rFonts w:ascii="Times New Roman" w:hAnsi="Times New Roman" w:hint="eastAsia"/>
          <w:bCs/>
          <w:color w:val="000000"/>
          <w:spacing w:val="10"/>
          <w:kern w:val="0"/>
          <w:sz w:val="15"/>
          <w:szCs w:val="15"/>
          <w:u w:color="000000"/>
        </w:rPr>
        <w:t>《</w:t>
      </w:r>
      <w:r w:rsidRPr="00997E67">
        <w:rPr>
          <w:rFonts w:ascii="Times New Roman" w:hAnsi="Times New Roman" w:hint="eastAsia"/>
          <w:bCs/>
          <w:color w:val="000000"/>
          <w:spacing w:val="10"/>
          <w:sz w:val="15"/>
          <w:szCs w:val="15"/>
          <w:u w:color="000000"/>
        </w:rPr>
        <w:t>理财产品投资协议书》</w:t>
      </w:r>
      <w:r w:rsidRPr="00997E67">
        <w:rPr>
          <w:rFonts w:ascii="Times New Roman" w:hAnsi="Times New Roman" w:hint="eastAsia"/>
          <w:bCs/>
          <w:spacing w:val="10"/>
          <w:sz w:val="15"/>
          <w:szCs w:val="15"/>
          <w:u w:color="000000"/>
        </w:rPr>
        <w:t>等，理解并确认理财产品条款及产品风险。</w:t>
      </w:r>
    </w:p>
    <w:p w:rsidR="00997E67" w:rsidRPr="00997E67" w:rsidRDefault="00997E67" w:rsidP="00997E67">
      <w:pPr>
        <w:widowControl/>
        <w:ind w:firstLine="480"/>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投资者在销售机构提供的渠道自主决定是否购买理财产品，确定购买金额，完成交易申请，并在确认份额后进行查询。</w:t>
      </w:r>
    </w:p>
    <w:p w:rsidR="00997E67" w:rsidRPr="00997E67" w:rsidRDefault="00997E67" w:rsidP="00997E67">
      <w:pPr>
        <w:widowControl/>
        <w:ind w:firstLine="480"/>
        <w:rPr>
          <w:rFonts w:ascii="Times New Roman" w:hAnsi="Times New Roman"/>
          <w:bCs/>
          <w:spacing w:val="10"/>
          <w:sz w:val="15"/>
          <w:szCs w:val="15"/>
          <w:u w:color="000000"/>
        </w:rPr>
      </w:pPr>
      <w:permStart w:id="624501102" w:edGrp="everyone"/>
      <w:r w:rsidRPr="00997E67">
        <w:rPr>
          <w:rFonts w:ascii="Times New Roman" w:hAnsi="Times New Roman" w:hint="eastAsia"/>
          <w:bCs/>
          <w:spacing w:val="10"/>
          <w:sz w:val="15"/>
          <w:szCs w:val="15"/>
          <w:u w:color="000000"/>
        </w:rPr>
        <w:t>此处填写销售机构具体购买流程</w:t>
      </w:r>
      <w:permEnd w:id="624501102"/>
    </w:p>
    <w:p w:rsidR="00997E67" w:rsidRPr="00997E67" w:rsidRDefault="00997E67" w:rsidP="00997E67">
      <w:pPr>
        <w:widowControl/>
        <w:ind w:firstLineChars="200" w:firstLine="341"/>
        <w:rPr>
          <w:rFonts w:ascii="Times New Roman" w:hAnsi="Times New Roman"/>
          <w:bCs/>
          <w:spacing w:val="10"/>
          <w:sz w:val="15"/>
          <w:szCs w:val="15"/>
          <w:u w:color="000000"/>
        </w:rPr>
      </w:pPr>
      <w:r w:rsidRPr="00997E67">
        <w:rPr>
          <w:rFonts w:ascii="Times New Roman" w:hAnsi="Times New Roman" w:hint="eastAsia"/>
          <w:b/>
          <w:spacing w:val="10"/>
          <w:sz w:val="15"/>
          <w:szCs w:val="15"/>
          <w:u w:color="000000"/>
        </w:rPr>
        <w:t>第二条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投资者风险承受能力评估流程说明</w:t>
      </w:r>
    </w:p>
    <w:p w:rsidR="00997E67" w:rsidRPr="00997E67" w:rsidRDefault="00997E67" w:rsidP="00997E67">
      <w:pPr>
        <w:widowControl/>
        <w:ind w:firstLine="478"/>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（一）个人投资者风险承受能力评估流程说明</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bCs/>
          <w:spacing w:val="10"/>
          <w:sz w:val="15"/>
          <w:szCs w:val="15"/>
          <w:u w:color="000000"/>
        </w:rPr>
        <w:t>1.</w:t>
      </w:r>
      <w:r w:rsidRPr="00997E67">
        <w:rPr>
          <w:rFonts w:ascii="Times New Roman" w:hAnsi="Times New Roman" w:hint="eastAsia"/>
          <w:bCs/>
          <w:spacing w:val="10"/>
          <w:sz w:val="15"/>
          <w:szCs w:val="15"/>
          <w:u w:color="000000"/>
        </w:rPr>
        <w:t>个人投资者首次通过销售机构购买理财产品时应根据销售机构的要求进行风险承受能力评估。</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bCs/>
          <w:spacing w:val="10"/>
          <w:sz w:val="15"/>
          <w:szCs w:val="15"/>
          <w:u w:color="000000"/>
        </w:rPr>
        <w:t>2.</w:t>
      </w:r>
      <w:r w:rsidRPr="00997E67">
        <w:rPr>
          <w:rFonts w:ascii="Times New Roman" w:hAnsi="Times New Roman" w:hint="eastAsia"/>
          <w:bCs/>
          <w:spacing w:val="10"/>
          <w:sz w:val="15"/>
          <w:szCs w:val="15"/>
          <w:u w:color="00000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bCs/>
          <w:spacing w:val="10"/>
          <w:sz w:val="15"/>
          <w:szCs w:val="15"/>
          <w:u w:color="000000"/>
        </w:rPr>
        <w:t>3.</w:t>
      </w:r>
      <w:r w:rsidRPr="00997E67">
        <w:rPr>
          <w:rFonts w:ascii="Times New Roman" w:hAnsi="Times New Roman" w:hint="eastAsia"/>
          <w:bCs/>
          <w:spacing w:val="10"/>
          <w:sz w:val="15"/>
          <w:szCs w:val="15"/>
          <w:u w:color="000000"/>
        </w:rPr>
        <w:t>个人投资者风险承受能力评估流程</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1</w:t>
      </w:r>
      <w:r w:rsidRPr="00997E67">
        <w:rPr>
          <w:rFonts w:ascii="Times New Roman" w:hAnsi="Times New Roman" w:hint="eastAsia"/>
          <w:bCs/>
          <w:spacing w:val="10"/>
          <w:sz w:val="15"/>
          <w:szCs w:val="15"/>
          <w:u w:color="000000"/>
        </w:rPr>
        <w:t>）个人投资者在销售机构进行风险承受能力评估；</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2</w:t>
      </w:r>
      <w:r w:rsidRPr="00997E67">
        <w:rPr>
          <w:rFonts w:ascii="Times New Roman" w:hAnsi="Times New Roman" w:hint="eastAsia"/>
          <w:bCs/>
          <w:spacing w:val="10"/>
          <w:sz w:val="15"/>
          <w:szCs w:val="15"/>
          <w:u w:color="000000"/>
        </w:rPr>
        <w:t>）填写销售机构个人投资者风险承受能力测试问卷；</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3</w:t>
      </w:r>
      <w:r w:rsidRPr="00997E67">
        <w:rPr>
          <w:rFonts w:ascii="Times New Roman" w:hAnsi="Times New Roman" w:hint="eastAsia"/>
          <w:bCs/>
          <w:spacing w:val="10"/>
          <w:sz w:val="15"/>
          <w:szCs w:val="15"/>
          <w:u w:color="000000"/>
        </w:rPr>
        <w:t>）生成相应的个人投资者风险承受能力评估结果；</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4</w:t>
      </w:r>
      <w:r w:rsidRPr="00997E67">
        <w:rPr>
          <w:rFonts w:ascii="Times New Roman" w:hAnsi="Times New Roman" w:hint="eastAsia"/>
          <w:bCs/>
          <w:spacing w:val="10"/>
          <w:sz w:val="15"/>
          <w:szCs w:val="15"/>
          <w:u w:color="000000"/>
        </w:rPr>
        <w:t>）投资者对评估结果进行确认。</w:t>
      </w:r>
    </w:p>
    <w:p w:rsidR="00997E67" w:rsidRPr="00997E67" w:rsidRDefault="00997E67" w:rsidP="00997E67">
      <w:pPr>
        <w:widowControl/>
        <w:ind w:firstLine="47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●特别提示：如个人投资者发生可能影响其自身风险承受能力的情况，再次购买理财产品时应当主动要求销售机构对其进行风险承受能力评估。</w:t>
      </w:r>
    </w:p>
    <w:p w:rsidR="00997E67" w:rsidRPr="00997E67" w:rsidRDefault="00997E67" w:rsidP="00997E67">
      <w:pPr>
        <w:widowControl/>
        <w:ind w:firstLineChars="200" w:firstLine="340"/>
        <w:rPr>
          <w:rFonts w:ascii="Times New Roman" w:hAnsi="Times New Roman"/>
          <w:spacing w:val="10"/>
          <w:sz w:val="15"/>
          <w:szCs w:val="15"/>
          <w:u w:color="000000"/>
        </w:rPr>
      </w:pPr>
      <w:r w:rsidRPr="00997E67">
        <w:rPr>
          <w:rFonts w:ascii="Times New Roman" w:hAnsi="Times New Roman" w:hint="eastAsia"/>
          <w:spacing w:val="10"/>
          <w:sz w:val="15"/>
          <w:szCs w:val="15"/>
          <w:u w:color="000000"/>
        </w:rPr>
        <w:t>评级具体含义说明。投资者风险承受能力评估结果的含义如下：</w:t>
      </w:r>
    </w:p>
    <w:p w:rsidR="00997E67" w:rsidRPr="00997E67" w:rsidRDefault="00997E67" w:rsidP="00997E67">
      <w:pPr>
        <w:widowControl/>
        <w:ind w:firstLine="380"/>
        <w:rPr>
          <w:rFonts w:ascii="Times New Roman" w:hAnsi="Times New Roman"/>
          <w:b/>
          <w:spacing w:val="10"/>
          <w:sz w:val="15"/>
          <w:szCs w:val="15"/>
          <w:u w:color="000000"/>
        </w:rPr>
      </w:pPr>
      <w:permStart w:id="1892498238" w:edGrp="everyone"/>
      <w:r w:rsidRPr="00997E67">
        <w:rPr>
          <w:rFonts w:ascii="Times New Roman" w:hAnsi="Times New Roman"/>
          <w:b/>
          <w:spacing w:val="10"/>
          <w:sz w:val="15"/>
          <w:szCs w:val="15"/>
          <w:u w:color="000000"/>
        </w:rPr>
        <w:t xml:space="preserve">     </w:t>
      </w:r>
    </w:p>
    <w:permEnd w:id="1892498238"/>
    <w:p w:rsidR="00997E67" w:rsidRPr="00997E67" w:rsidRDefault="00997E67" w:rsidP="00997E67">
      <w:pPr>
        <w:widowControl/>
        <w:ind w:firstLine="478"/>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（二）机构投资者风险承受能力评估流程说明</w:t>
      </w:r>
    </w:p>
    <w:p w:rsidR="00997E67" w:rsidRPr="00997E67" w:rsidRDefault="00997E67" w:rsidP="00997E67">
      <w:pPr>
        <w:widowControl/>
        <w:ind w:firstLine="47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机构投资者请根据自身的财务状况、投资经验、投资目标、风险认知、风险判断及其他因素综合考量理财产品的投资风险及自身的风险承受能力。</w:t>
      </w:r>
    </w:p>
    <w:p w:rsidR="00997E67" w:rsidRPr="00997E67" w:rsidRDefault="00997E67" w:rsidP="00997E67">
      <w:pPr>
        <w:widowControl/>
        <w:ind w:firstLine="478"/>
        <w:rPr>
          <w:rFonts w:ascii="Times New Roman" w:hAnsi="Times New Roman"/>
          <w:bCs/>
          <w:spacing w:val="10"/>
          <w:sz w:val="15"/>
          <w:szCs w:val="15"/>
          <w:u w:color="000000"/>
        </w:rPr>
      </w:pPr>
      <w:r w:rsidRPr="00997E67">
        <w:rPr>
          <w:rFonts w:ascii="Times New Roman" w:hAnsi="Times New Roman" w:hint="eastAsia"/>
          <w:b/>
          <w:spacing w:val="10"/>
          <w:sz w:val="15"/>
          <w:szCs w:val="15"/>
          <w:u w:color="000000"/>
        </w:rPr>
        <w:t>第三条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理财产品风险等级说明</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hint="eastAsia"/>
          <w:spacing w:val="10"/>
          <w:sz w:val="15"/>
          <w:szCs w:val="15"/>
          <w:u w:color="000000"/>
        </w:rPr>
        <w:t>由于理财产品的运行方式和投资范围等不同，其承担的风险程度各有不同，南银理财将其风险等级分为五级，分别为：</w:t>
      </w:r>
      <w:r w:rsidRPr="00997E67">
        <w:rPr>
          <w:rFonts w:ascii="Times New Roman" w:hAnsi="Times New Roman"/>
          <w:spacing w:val="10"/>
          <w:sz w:val="15"/>
          <w:szCs w:val="15"/>
          <w:u w:color="000000"/>
        </w:rPr>
        <w:t>PR1</w:t>
      </w:r>
      <w:r w:rsidRPr="00997E67">
        <w:rPr>
          <w:rFonts w:ascii="Times New Roman" w:hAnsi="Times New Roman" w:hint="eastAsia"/>
          <w:spacing w:val="10"/>
          <w:sz w:val="15"/>
          <w:szCs w:val="15"/>
          <w:u w:color="000000"/>
        </w:rPr>
        <w:t>级（低风险）、</w:t>
      </w:r>
      <w:r w:rsidRPr="00997E67">
        <w:rPr>
          <w:rFonts w:ascii="Times New Roman" w:hAnsi="Times New Roman"/>
          <w:spacing w:val="10"/>
          <w:sz w:val="15"/>
          <w:szCs w:val="15"/>
          <w:u w:color="000000"/>
        </w:rPr>
        <w:t>PR2</w:t>
      </w:r>
      <w:r w:rsidRPr="00997E67">
        <w:rPr>
          <w:rFonts w:ascii="Times New Roman" w:hAnsi="Times New Roman" w:hint="eastAsia"/>
          <w:spacing w:val="10"/>
          <w:sz w:val="15"/>
          <w:szCs w:val="15"/>
          <w:u w:color="000000"/>
        </w:rPr>
        <w:t>级（中低风险）、</w:t>
      </w:r>
      <w:r w:rsidRPr="00997E67">
        <w:rPr>
          <w:rFonts w:ascii="Times New Roman" w:hAnsi="Times New Roman"/>
          <w:spacing w:val="10"/>
          <w:sz w:val="15"/>
          <w:szCs w:val="15"/>
          <w:u w:color="000000"/>
        </w:rPr>
        <w:t>PR3</w:t>
      </w:r>
      <w:r w:rsidRPr="00997E67">
        <w:rPr>
          <w:rFonts w:ascii="Times New Roman" w:hAnsi="Times New Roman" w:hint="eastAsia"/>
          <w:spacing w:val="10"/>
          <w:sz w:val="15"/>
          <w:szCs w:val="15"/>
          <w:u w:color="000000"/>
        </w:rPr>
        <w:t>级（中等风险）、</w:t>
      </w:r>
      <w:r w:rsidRPr="00997E67">
        <w:rPr>
          <w:rFonts w:ascii="Times New Roman" w:hAnsi="Times New Roman"/>
          <w:spacing w:val="10"/>
          <w:sz w:val="15"/>
          <w:szCs w:val="15"/>
          <w:u w:color="000000"/>
        </w:rPr>
        <w:t>PR4</w:t>
      </w:r>
      <w:r w:rsidRPr="00997E67">
        <w:rPr>
          <w:rFonts w:ascii="Times New Roman" w:hAnsi="Times New Roman" w:hint="eastAsia"/>
          <w:spacing w:val="10"/>
          <w:sz w:val="15"/>
          <w:szCs w:val="15"/>
          <w:u w:color="000000"/>
        </w:rPr>
        <w:t>级（中高风险）、</w:t>
      </w:r>
      <w:r w:rsidRPr="00997E67">
        <w:rPr>
          <w:rFonts w:ascii="Times New Roman" w:hAnsi="Times New Roman"/>
          <w:spacing w:val="10"/>
          <w:sz w:val="15"/>
          <w:szCs w:val="15"/>
          <w:u w:color="000000"/>
        </w:rPr>
        <w:t>PR5</w:t>
      </w:r>
      <w:r w:rsidRPr="00997E67">
        <w:rPr>
          <w:rFonts w:ascii="Times New Roman" w:hAnsi="Times New Roman" w:hint="eastAsia"/>
          <w:spacing w:val="10"/>
          <w:sz w:val="15"/>
          <w:szCs w:val="15"/>
          <w:u w:color="000000"/>
        </w:rPr>
        <w:t>级（高风险）。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PR1</w:t>
      </w:r>
      <w:r w:rsidRPr="00997E67">
        <w:rPr>
          <w:rFonts w:ascii="Times New Roman" w:hAnsi="Times New Roman" w:hint="eastAsia"/>
          <w:spacing w:val="10"/>
          <w:sz w:val="15"/>
          <w:szCs w:val="15"/>
          <w:u w:color="000000"/>
        </w:rPr>
        <w:t>级（低风险）：管理人不承诺本金保障，产品收益随投资表现变动，产品存在极低的本金损失风险。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PR2</w:t>
      </w:r>
      <w:r w:rsidRPr="00997E67">
        <w:rPr>
          <w:rFonts w:ascii="Times New Roman" w:hAnsi="Times New Roman" w:hint="eastAsia"/>
          <w:spacing w:val="10"/>
          <w:sz w:val="15"/>
          <w:szCs w:val="15"/>
          <w:u w:color="000000"/>
        </w:rPr>
        <w:t>级（中低风险）：管理人不承诺本金保障，产品收益随投资表现变动，产品存在较低的本金损失风险。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PR3</w:t>
      </w:r>
      <w:r w:rsidRPr="00997E67">
        <w:rPr>
          <w:rFonts w:ascii="Times New Roman" w:hAnsi="Times New Roman" w:hint="eastAsia"/>
          <w:spacing w:val="10"/>
          <w:sz w:val="15"/>
          <w:szCs w:val="15"/>
          <w:u w:color="000000"/>
        </w:rPr>
        <w:t>级（中等风险）：管理人不承诺本金保障，产品收益随投资表现变动，产品存在一定的本金损失风险。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PR4</w:t>
      </w:r>
      <w:r w:rsidRPr="00997E67">
        <w:rPr>
          <w:rFonts w:ascii="Times New Roman" w:hAnsi="Times New Roman" w:hint="eastAsia"/>
          <w:spacing w:val="10"/>
          <w:sz w:val="15"/>
          <w:szCs w:val="15"/>
          <w:u w:color="000000"/>
        </w:rPr>
        <w:t>级（中高风险）：管理人不承诺本金保障，产品收益随投资表现变动，产品存在较高的本金损失风险。</w:t>
      </w:r>
    </w:p>
    <w:p w:rsidR="00997E67" w:rsidRPr="00997E67" w:rsidRDefault="00997E67" w:rsidP="00997E67">
      <w:pPr>
        <w:widowControl/>
        <w:ind w:firstLineChars="198" w:firstLine="337"/>
        <w:rPr>
          <w:rFonts w:ascii="Times New Roman" w:hAnsi="Times New Roman"/>
          <w:color w:val="000000"/>
          <w:kern w:val="0"/>
          <w:sz w:val="24"/>
          <w:szCs w:val="20"/>
          <w:u w:color="000000"/>
        </w:rPr>
      </w:pPr>
      <w:r w:rsidRPr="00997E67">
        <w:rPr>
          <w:rFonts w:ascii="Times New Roman" w:hAnsi="Times New Roman"/>
          <w:spacing w:val="10"/>
          <w:sz w:val="15"/>
          <w:szCs w:val="15"/>
          <w:u w:color="000000"/>
        </w:rPr>
        <w:t>PR5</w:t>
      </w:r>
      <w:r w:rsidRPr="00997E67">
        <w:rPr>
          <w:rFonts w:ascii="Times New Roman" w:hAnsi="Times New Roman" w:hint="eastAsia"/>
          <w:spacing w:val="10"/>
          <w:sz w:val="15"/>
          <w:szCs w:val="15"/>
          <w:u w:color="000000"/>
        </w:rPr>
        <w:t>级（高风险）：管理人不承诺本金保障，产品收益随投资表现变动，产品存在极高的本金损失风险，产品本金蒙受全部损失的可能性不容忽视。</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hint="eastAsia"/>
          <w:spacing w:val="10"/>
          <w:sz w:val="15"/>
          <w:szCs w:val="15"/>
          <w:u w:color="000000"/>
        </w:rPr>
        <w:t>本风险等级为南银理财风险评级结果，该产品通过代理销售机构渠道销售的，理财产品评级应当以代理销售机构最终披露的评级结果为准。您需充分认识投资风险，谨慎投资。</w:t>
      </w:r>
    </w:p>
    <w:p w:rsidR="00997E67" w:rsidRPr="00997E67" w:rsidRDefault="00997E67" w:rsidP="00997E67">
      <w:pPr>
        <w:widowControl/>
        <w:ind w:firstLineChars="200" w:firstLine="341"/>
        <w:rPr>
          <w:rFonts w:ascii="Times New Roman" w:hAnsi="Times New Roman"/>
          <w:color w:val="000000"/>
          <w:kern w:val="0"/>
          <w:sz w:val="24"/>
          <w:szCs w:val="20"/>
          <w:u w:color="000000"/>
        </w:rPr>
      </w:pPr>
      <w:r w:rsidRPr="00997E67">
        <w:rPr>
          <w:rFonts w:ascii="Times New Roman" w:hAnsi="Times New Roman" w:hint="eastAsia"/>
          <w:b/>
          <w:spacing w:val="10"/>
          <w:sz w:val="15"/>
          <w:szCs w:val="15"/>
          <w:u w:color="000000"/>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w:t>
      </w:r>
      <w:r w:rsidRPr="00997E67">
        <w:rPr>
          <w:rFonts w:ascii="Times New Roman" w:hAnsi="Times New Roman" w:hint="eastAsia"/>
          <w:b/>
          <w:spacing w:val="10"/>
          <w:sz w:val="15"/>
          <w:szCs w:val="15"/>
          <w:u w:color="000000"/>
        </w:rPr>
        <w:lastRenderedPageBreak/>
        <w:t>评估结果，按较高的风险等级评估结果向投资者进行充分的风险提示并推介理财产品，确保个人投资者的风险承受能力等级不低于本理财产品风险等级。】</w:t>
      </w:r>
    </w:p>
    <w:p w:rsidR="00997E67" w:rsidRPr="00997E67" w:rsidRDefault="00997E67" w:rsidP="00997E67">
      <w:pPr>
        <w:widowControl/>
        <w:ind w:firstLineChars="198" w:firstLine="338"/>
        <w:rPr>
          <w:rFonts w:ascii="Times New Roman" w:hAnsi="Times New Roman"/>
          <w:b/>
          <w:bCs/>
          <w:spacing w:val="10"/>
          <w:sz w:val="15"/>
          <w:szCs w:val="15"/>
          <w:u w:color="000000"/>
        </w:rPr>
      </w:pPr>
      <w:r w:rsidRPr="00997E67">
        <w:rPr>
          <w:rFonts w:ascii="Times New Roman" w:hAnsi="Times New Roman" w:hint="eastAsia"/>
          <w:b/>
          <w:bCs/>
          <w:spacing w:val="10"/>
          <w:sz w:val="15"/>
          <w:szCs w:val="15"/>
          <w:u w:color="000000"/>
        </w:rPr>
        <w:t>第四条</w:t>
      </w:r>
      <w:r w:rsidRPr="00997E67">
        <w:rPr>
          <w:rFonts w:ascii="Times New Roman" w:hAnsi="Times New Roman"/>
          <w:b/>
          <w:bCs/>
          <w:spacing w:val="10"/>
          <w:sz w:val="15"/>
          <w:szCs w:val="15"/>
          <w:u w:color="000000"/>
        </w:rPr>
        <w:t xml:space="preserve"> </w:t>
      </w:r>
      <w:r w:rsidRPr="00997E67">
        <w:rPr>
          <w:rFonts w:ascii="Times New Roman" w:hAnsi="Times New Roman" w:hint="eastAsia"/>
          <w:b/>
          <w:bCs/>
          <w:spacing w:val="10"/>
          <w:sz w:val="15"/>
          <w:szCs w:val="15"/>
          <w:u w:color="000000"/>
        </w:rPr>
        <w:t>个人投资者风险承受能力等级与适合购买的理财产品说明</w:t>
      </w:r>
    </w:p>
    <w:tbl>
      <w:tblPr>
        <w:tblW w:w="5790" w:type="dxa"/>
        <w:jc w:val="center"/>
        <w:tblInd w:w="0" w:type="dxa"/>
        <w:tblLayout w:type="fixed"/>
        <w:tblLook w:val="04A0" w:firstRow="1" w:lastRow="0" w:firstColumn="1" w:lastColumn="0" w:noHBand="0" w:noVBand="1"/>
      </w:tblPr>
      <w:tblGrid>
        <w:gridCol w:w="1865"/>
        <w:gridCol w:w="740"/>
        <w:gridCol w:w="815"/>
        <w:gridCol w:w="815"/>
        <w:gridCol w:w="815"/>
        <w:gridCol w:w="740"/>
      </w:tblGrid>
      <w:tr w:rsidR="00997E67" w:rsidRPr="00997E67" w:rsidTr="00997E67">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kern w:val="0"/>
                <w:sz w:val="15"/>
                <w:szCs w:val="15"/>
                <w:u w:color="000000"/>
              </w:rPr>
            </w:pPr>
            <w:r w:rsidRPr="00997E67">
              <w:rPr>
                <w:rFonts w:ascii="宋体" w:hAnsi="宋体" w:cs="宋体" w:hint="eastAsia"/>
                <w:kern w:val="0"/>
                <w:sz w:val="15"/>
                <w:szCs w:val="15"/>
                <w:u w:color="000000"/>
              </w:rPr>
              <w:t>个人投资者风险承受能力</w:t>
            </w:r>
          </w:p>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南银理财理财产品风险等级</w:t>
            </w:r>
          </w:p>
        </w:tc>
      </w:tr>
      <w:tr w:rsidR="00997E67" w:rsidRPr="00997E67" w:rsidTr="00997E67">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jc w:val="left"/>
              <w:rPr>
                <w:rFonts w:ascii="宋体" w:hAnsi="宋体" w:cs="宋体"/>
                <w:kern w:val="0"/>
                <w:sz w:val="15"/>
                <w:szCs w:val="15"/>
                <w:u w:color="000000"/>
              </w:rPr>
            </w:pPr>
          </w:p>
        </w:tc>
        <w:tc>
          <w:tcPr>
            <w:tcW w:w="741"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低风险</w:t>
            </w:r>
            <w:r w:rsidRPr="00997E67">
              <w:rPr>
                <w:rFonts w:ascii="宋体" w:hAnsi="宋体" w:cs="宋体" w:hint="eastAsia"/>
                <w:kern w:val="0"/>
                <w:sz w:val="15"/>
                <w:szCs w:val="15"/>
                <w:u w:color="000000"/>
              </w:rPr>
              <w:br/>
              <w:t>（PR1）</w:t>
            </w:r>
          </w:p>
        </w:tc>
        <w:tc>
          <w:tcPr>
            <w:tcW w:w="816"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中低风险</w:t>
            </w:r>
            <w:r w:rsidRPr="00997E67">
              <w:rPr>
                <w:rFonts w:ascii="宋体" w:hAnsi="宋体" w:cs="宋体" w:hint="eastAsia"/>
                <w:kern w:val="0"/>
                <w:sz w:val="15"/>
                <w:szCs w:val="15"/>
                <w:u w:color="000000"/>
              </w:rPr>
              <w:br/>
              <w:t>（PR2）</w:t>
            </w:r>
          </w:p>
        </w:tc>
        <w:tc>
          <w:tcPr>
            <w:tcW w:w="816"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中等风险</w:t>
            </w:r>
            <w:r w:rsidRPr="00997E67">
              <w:rPr>
                <w:rFonts w:ascii="宋体" w:hAnsi="宋体" w:cs="宋体" w:hint="eastAsia"/>
                <w:kern w:val="0"/>
                <w:sz w:val="15"/>
                <w:szCs w:val="15"/>
                <w:u w:color="000000"/>
              </w:rPr>
              <w:br/>
              <w:t>（PR3）</w:t>
            </w:r>
          </w:p>
        </w:tc>
        <w:tc>
          <w:tcPr>
            <w:tcW w:w="816"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中高风险</w:t>
            </w:r>
            <w:r w:rsidRPr="00997E67">
              <w:rPr>
                <w:rFonts w:ascii="宋体" w:hAnsi="宋体" w:cs="宋体" w:hint="eastAsia"/>
                <w:kern w:val="0"/>
                <w:sz w:val="15"/>
                <w:szCs w:val="15"/>
                <w:u w:color="000000"/>
              </w:rPr>
              <w:br/>
              <w:t>（PR4）</w:t>
            </w:r>
          </w:p>
        </w:tc>
        <w:tc>
          <w:tcPr>
            <w:tcW w:w="741"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高风险</w:t>
            </w:r>
            <w:r w:rsidRPr="00997E67">
              <w:rPr>
                <w:rFonts w:ascii="宋体" w:hAnsi="宋体" w:cs="宋体" w:hint="eastAsia"/>
                <w:kern w:val="0"/>
                <w:sz w:val="15"/>
                <w:szCs w:val="15"/>
                <w:u w:color="000000"/>
              </w:rPr>
              <w:br/>
              <w:t>（PR5）</w:t>
            </w:r>
          </w:p>
        </w:tc>
      </w:tr>
      <w:tr w:rsidR="00997E67" w:rsidRPr="00997E67" w:rsidTr="00997E6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696796068" w:edGrp="everyone" w:colFirst="0" w:colLast="0"/>
            <w:permStart w:id="570912829" w:edGrp="everyone" w:colFirst="1" w:colLast="1"/>
            <w:permStart w:id="1594630071" w:edGrp="everyone" w:colFirst="2" w:colLast="2"/>
            <w:permStart w:id="1354434742" w:edGrp="everyone" w:colFirst="3" w:colLast="3"/>
            <w:permStart w:id="221596893" w:edGrp="everyone" w:colFirst="4" w:colLast="4"/>
            <w:permStart w:id="1379095919" w:edGrp="everyone" w:colFirst="5" w:colLast="5"/>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1228158350" w:edGrp="everyone" w:colFirst="0" w:colLast="0"/>
            <w:permStart w:id="1236340257" w:edGrp="everyone" w:colFirst="1" w:colLast="1"/>
            <w:permStart w:id="1834373337" w:edGrp="everyone" w:colFirst="2" w:colLast="2"/>
            <w:permStart w:id="439046306" w:edGrp="everyone" w:colFirst="3" w:colLast="3"/>
            <w:permStart w:id="1366757028" w:edGrp="everyone" w:colFirst="4" w:colLast="4"/>
            <w:permStart w:id="1813019555" w:edGrp="everyone" w:colFirst="5" w:colLast="5"/>
            <w:permEnd w:id="696796068"/>
            <w:permEnd w:id="570912829"/>
            <w:permEnd w:id="1594630071"/>
            <w:permEnd w:id="1354434742"/>
            <w:permEnd w:id="221596893"/>
            <w:permEnd w:id="1379095919"/>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642146174" w:edGrp="everyone" w:colFirst="0" w:colLast="0"/>
            <w:permStart w:id="881396310" w:edGrp="everyone" w:colFirst="1" w:colLast="1"/>
            <w:permStart w:id="1679305205" w:edGrp="everyone" w:colFirst="2" w:colLast="2"/>
            <w:permStart w:id="1560163136" w:edGrp="everyone" w:colFirst="3" w:colLast="3"/>
            <w:permStart w:id="1114264539" w:edGrp="everyone" w:colFirst="4" w:colLast="4"/>
            <w:permStart w:id="1372199038" w:edGrp="everyone" w:colFirst="5" w:colLast="5"/>
            <w:permEnd w:id="1228158350"/>
            <w:permEnd w:id="1236340257"/>
            <w:permEnd w:id="1834373337"/>
            <w:permEnd w:id="439046306"/>
            <w:permEnd w:id="1366757028"/>
            <w:permEnd w:id="1813019555"/>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1455491477" w:edGrp="everyone" w:colFirst="0" w:colLast="0"/>
            <w:permStart w:id="338652591" w:edGrp="everyone" w:colFirst="1" w:colLast="1"/>
            <w:permStart w:id="1983317768" w:edGrp="everyone" w:colFirst="2" w:colLast="2"/>
            <w:permStart w:id="1859806293" w:edGrp="everyone" w:colFirst="3" w:colLast="3"/>
            <w:permStart w:id="383151001" w:edGrp="everyone" w:colFirst="4" w:colLast="4"/>
            <w:permStart w:id="1090868471" w:edGrp="everyone" w:colFirst="5" w:colLast="5"/>
            <w:permEnd w:id="642146174"/>
            <w:permEnd w:id="881396310"/>
            <w:permEnd w:id="1679305205"/>
            <w:permEnd w:id="1560163136"/>
            <w:permEnd w:id="1114264539"/>
            <w:permEnd w:id="1372199038"/>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1130764968" w:edGrp="everyone" w:colFirst="0" w:colLast="0"/>
            <w:permStart w:id="2008045333" w:edGrp="everyone" w:colFirst="1" w:colLast="1"/>
            <w:permStart w:id="827685386" w:edGrp="everyone" w:colFirst="2" w:colLast="2"/>
            <w:permStart w:id="1927233579" w:edGrp="everyone" w:colFirst="3" w:colLast="3"/>
            <w:permStart w:id="560472350" w:edGrp="everyone" w:colFirst="4" w:colLast="4"/>
            <w:permStart w:id="1081033880" w:edGrp="everyone" w:colFirst="5" w:colLast="5"/>
            <w:permEnd w:id="1455491477"/>
            <w:permEnd w:id="338652591"/>
            <w:permEnd w:id="1983317768"/>
            <w:permEnd w:id="1859806293"/>
            <w:permEnd w:id="383151001"/>
            <w:permEnd w:id="1090868471"/>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bl>
    <w:permEnd w:id="1130764968"/>
    <w:permEnd w:id="2008045333"/>
    <w:permEnd w:id="827685386"/>
    <w:permEnd w:id="1927233579"/>
    <w:permEnd w:id="560472350"/>
    <w:permEnd w:id="1081033880"/>
    <w:p w:rsidR="00997E67" w:rsidRPr="00997E67" w:rsidRDefault="00997E67" w:rsidP="00997E67">
      <w:pPr>
        <w:widowControl/>
        <w:ind w:firstLineChars="200" w:firstLine="340"/>
        <w:jc w:val="center"/>
        <w:rPr>
          <w:rFonts w:ascii="Times New Roman" w:hAnsi="Times New Roman" w:hint="eastAsia"/>
          <w:b/>
          <w:spacing w:val="10"/>
          <w:sz w:val="15"/>
          <w:szCs w:val="15"/>
          <w:u w:color="000000"/>
        </w:rPr>
      </w:pPr>
      <w:r w:rsidRPr="00997E67">
        <w:rPr>
          <w:rFonts w:ascii="Times New Roman" w:hAnsi="Times New Roman" w:hint="eastAsia"/>
          <w:spacing w:val="10"/>
          <w:sz w:val="15"/>
          <w:szCs w:val="15"/>
          <w:u w:color="000000"/>
        </w:rPr>
        <w:t>备注：√代表可以购买；×代表不能购买。</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第五条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理财产品信息披露的方式、渠道和频率说明</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南银理财按照对应期次《理财产品说明书》约定的方式、渠道和频率进行信息披露。投资者应密切关注与本理财产品有关的信息披露，以免造成不必要的损失。</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投资者预留在南银理财或销售机构的有效联系方式变更的，应及时通知南银理财或销售机构。</w:t>
      </w:r>
      <w:r w:rsidRPr="00997E67">
        <w:rPr>
          <w:rFonts w:ascii="Times New Roman" w:hAnsi="Times New Roman" w:hint="eastAsia"/>
          <w:b/>
          <w:spacing w:val="10"/>
          <w:sz w:val="15"/>
          <w:szCs w:val="15"/>
          <w:u w:color="000000"/>
        </w:rPr>
        <w:t>如投资者未及时告知南银理财或销售机构联系方式变更，造成南银理财或销售机构在需要时无法联系投资者，并由此影响投资者的投资决策，因此而产生的责任和风险由投资者自行承担。</w:t>
      </w:r>
    </w:p>
    <w:p w:rsidR="00997E67" w:rsidRPr="00997E67" w:rsidRDefault="00997E67" w:rsidP="00997E67">
      <w:pPr>
        <w:widowControl/>
        <w:ind w:firstLineChars="200" w:firstLine="341"/>
        <w:jc w:val="left"/>
        <w:rPr>
          <w:rFonts w:ascii="Times New Roman" w:hAnsi="Times New Roman"/>
          <w:bCs/>
          <w:spacing w:val="10"/>
          <w:sz w:val="15"/>
          <w:szCs w:val="15"/>
          <w:u w:color="000000"/>
        </w:rPr>
      </w:pPr>
      <w:r w:rsidRPr="00997E67">
        <w:rPr>
          <w:rFonts w:ascii="Times New Roman" w:hAnsi="Times New Roman" w:hint="eastAsia"/>
          <w:b/>
          <w:spacing w:val="10"/>
          <w:sz w:val="15"/>
          <w:szCs w:val="15"/>
          <w:u w:color="000000"/>
        </w:rPr>
        <w:t>第六条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投资者信息保护</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南银理财及销售机构承诺依法履行投资者信息保密义务，防范投资者信息被不当采集、使用、传输和泄露，保护投资者的信息安全，法律法规另有规定，或有权机关另有要求的情形除外。</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第七条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投资者投诉的方式和程序</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投资者若需针对产品的设计、成立、运作、到期清算或提前终止等事项进行投诉，</w:t>
      </w:r>
      <w:r w:rsidRPr="00997E67">
        <w:rPr>
          <w:rFonts w:ascii="Times New Roman" w:hAnsi="Times New Roman" w:hint="eastAsia"/>
          <w:b/>
          <w:spacing w:val="10"/>
          <w:sz w:val="15"/>
          <w:szCs w:val="15"/>
          <w:u w:color="000000"/>
        </w:rPr>
        <w:t>可与管理人或销售机构联系，管理人或销售机构将及时接听、记录投资者的意见或建议并与投资者协商共同解决</w:t>
      </w:r>
      <w:r w:rsidRPr="00997E67">
        <w:rPr>
          <w:rFonts w:ascii="Times New Roman" w:hAnsi="Times New Roman" w:hint="eastAsia"/>
          <w:bCs/>
          <w:spacing w:val="10"/>
          <w:sz w:val="15"/>
          <w:szCs w:val="15"/>
          <w:u w:color="000000"/>
        </w:rPr>
        <w:t>。</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第八条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联系方式</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（一）南银理财联系方式</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地址：南京市建邺区奥体大街</w:t>
      </w:r>
      <w:r w:rsidRPr="00997E67">
        <w:rPr>
          <w:rFonts w:ascii="Times New Roman" w:hAnsi="Times New Roman"/>
          <w:bCs/>
          <w:spacing w:val="10"/>
          <w:sz w:val="15"/>
          <w:szCs w:val="15"/>
          <w:u w:color="000000"/>
        </w:rPr>
        <w:t>68</w:t>
      </w:r>
      <w:r w:rsidRPr="00997E67">
        <w:rPr>
          <w:rFonts w:ascii="Times New Roman" w:hAnsi="Times New Roman" w:hint="eastAsia"/>
          <w:bCs/>
          <w:spacing w:val="10"/>
          <w:sz w:val="15"/>
          <w:szCs w:val="15"/>
          <w:u w:color="000000"/>
        </w:rPr>
        <w:t>号国际研发总部园</w:t>
      </w:r>
      <w:r w:rsidRPr="00997E67">
        <w:rPr>
          <w:rFonts w:ascii="Times New Roman" w:hAnsi="Times New Roman"/>
          <w:bCs/>
          <w:spacing w:val="10"/>
          <w:sz w:val="15"/>
          <w:szCs w:val="15"/>
          <w:u w:color="000000"/>
        </w:rPr>
        <w:t>2</w:t>
      </w:r>
      <w:r w:rsidRPr="00997E67">
        <w:rPr>
          <w:rFonts w:ascii="Times New Roman" w:hAnsi="Times New Roman" w:hint="eastAsia"/>
          <w:bCs/>
          <w:spacing w:val="10"/>
          <w:sz w:val="15"/>
          <w:szCs w:val="15"/>
          <w:u w:color="000000"/>
        </w:rPr>
        <w:t>栋</w:t>
      </w:r>
      <w:r w:rsidRPr="00997E67">
        <w:rPr>
          <w:rFonts w:ascii="Times New Roman" w:hAnsi="Times New Roman"/>
          <w:bCs/>
          <w:spacing w:val="10"/>
          <w:sz w:val="15"/>
          <w:szCs w:val="15"/>
          <w:u w:color="000000"/>
        </w:rPr>
        <w:t>13</w:t>
      </w: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14</w:t>
      </w:r>
      <w:r w:rsidRPr="00997E67">
        <w:rPr>
          <w:rFonts w:ascii="Times New Roman" w:hAnsi="Times New Roman" w:hint="eastAsia"/>
          <w:bCs/>
          <w:spacing w:val="10"/>
          <w:sz w:val="15"/>
          <w:szCs w:val="15"/>
          <w:u w:color="000000"/>
        </w:rPr>
        <w:t>楼</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电话：</w:t>
      </w:r>
      <w:r w:rsidRPr="00997E67">
        <w:rPr>
          <w:rFonts w:ascii="Times New Roman" w:hAnsi="Times New Roman"/>
          <w:bCs/>
          <w:spacing w:val="10"/>
          <w:sz w:val="15"/>
          <w:szCs w:val="15"/>
          <w:u w:color="000000"/>
        </w:rPr>
        <w:t>025-83642065</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（二）销售机构联系方式</w:t>
      </w:r>
    </w:p>
    <w:p w:rsidR="00997E67" w:rsidRPr="00997E67" w:rsidRDefault="00997E67" w:rsidP="00997E67">
      <w:pPr>
        <w:widowControl/>
        <w:ind w:firstLineChars="200" w:firstLine="341"/>
        <w:jc w:val="left"/>
        <w:rPr>
          <w:rFonts w:ascii="Times New Roman" w:hAnsi="Times New Roman"/>
          <w:b/>
          <w:spacing w:val="10"/>
          <w:sz w:val="15"/>
          <w:szCs w:val="15"/>
          <w:u w:color="000000"/>
        </w:rPr>
      </w:pPr>
      <w:permStart w:id="586556015" w:edGrp="everyone"/>
      <w:r w:rsidRPr="00997E67">
        <w:rPr>
          <w:rFonts w:ascii="Times New Roman" w:hAnsi="Times New Roman"/>
          <w:b/>
          <w:spacing w:val="10"/>
          <w:sz w:val="15"/>
          <w:szCs w:val="15"/>
          <w:u w:color="000000"/>
        </w:rPr>
        <w:t xml:space="preserve">    </w:t>
      </w:r>
    </w:p>
    <w:permEnd w:id="586556015"/>
    <w:p w:rsidR="00997E67" w:rsidRPr="00997E67" w:rsidRDefault="00997E67" w:rsidP="00997E67">
      <w:pPr>
        <w:widowControl/>
        <w:rPr>
          <w:rFonts w:ascii="Times New Roman" w:hAnsi="Times New Roman"/>
          <w:b/>
          <w:spacing w:val="10"/>
          <w:sz w:val="15"/>
          <w:szCs w:val="15"/>
          <w:u w:val="single" w:color="000000"/>
        </w:rPr>
      </w:pPr>
    </w:p>
    <w:p w:rsidR="00997E67" w:rsidRPr="00997E67" w:rsidRDefault="00997E67" w:rsidP="00997E67">
      <w:pPr>
        <w:widowControl/>
        <w:jc w:val="center"/>
        <w:rPr>
          <w:rFonts w:ascii="Times New Roman" w:hAnsi="Times New Roman"/>
          <w:b/>
          <w:spacing w:val="10"/>
          <w:sz w:val="15"/>
          <w:szCs w:val="15"/>
          <w:u w:val="single" w:color="000000"/>
        </w:rPr>
      </w:pPr>
      <w:r w:rsidRPr="00997E67">
        <w:rPr>
          <w:rFonts w:ascii="Times New Roman" w:hAnsi="Times New Roman" w:hint="eastAsia"/>
          <w:b/>
          <w:spacing w:val="10"/>
          <w:sz w:val="15"/>
          <w:szCs w:val="15"/>
          <w:u w:val="single" w:color="000000"/>
        </w:rPr>
        <w:t>仔细阅读提示</w:t>
      </w:r>
    </w:p>
    <w:p w:rsidR="00997E67" w:rsidRPr="00997E67" w:rsidRDefault="00997E67" w:rsidP="00997E67">
      <w:pPr>
        <w:ind w:firstLineChars="200" w:firstLine="341"/>
        <w:rPr>
          <w:b/>
          <w:spacing w:val="10"/>
          <w:sz w:val="15"/>
          <w:szCs w:val="15"/>
          <w:u w:val="single" w:color="000000"/>
        </w:rPr>
      </w:pPr>
      <w:r w:rsidRPr="00997E67">
        <w:rPr>
          <w:rFonts w:hint="eastAsia"/>
          <w:b/>
          <w:spacing w:val="10"/>
          <w:sz w:val="15"/>
          <w:szCs w:val="15"/>
          <w:u w:val="single" w:color="000000"/>
        </w:rPr>
        <w:t>请投资者务必仔细阅读本理财产品销售文件，包括但不限于</w:t>
      </w:r>
      <w:bookmarkStart w:id="4" w:name="_Hlk49171075"/>
      <w:r w:rsidRPr="00997E67">
        <w:rPr>
          <w:rFonts w:hint="eastAsia"/>
          <w:b/>
          <w:spacing w:val="10"/>
          <w:sz w:val="15"/>
          <w:szCs w:val="15"/>
          <w:u w:val="single" w:color="000000"/>
        </w:rPr>
        <w:t>本理财产品对应的</w:t>
      </w:r>
      <w:bookmarkEnd w:id="2"/>
      <w:r w:rsidRPr="00997E67">
        <w:rPr>
          <w:rFonts w:hint="eastAsia"/>
          <w:b/>
          <w:spacing w:val="10"/>
          <w:sz w:val="15"/>
          <w:szCs w:val="15"/>
          <w:u w:val="single" w:color="000000"/>
        </w:rPr>
        <w:t>《理财产品销售协议书》《理财产品说明书》《理财产品风险揭示书》《投资者权益须知》《理财产品投资协议书》等，了解理财产品具体情况，关注投资风险，自主决定是否投资。</w:t>
      </w:r>
      <w:bookmarkEnd w:id="3"/>
    </w:p>
    <w:p w:rsidR="00293F5D" w:rsidRPr="00997E67" w:rsidRDefault="00293F5D">
      <w:pPr>
        <w:spacing w:line="0" w:lineRule="atLeast"/>
        <w:jc w:val="center"/>
        <w:rPr>
          <w:rFonts w:ascii="Times New Roman" w:eastAsia="黑体" w:hAnsi="Times New Roman"/>
          <w:b/>
          <w:bCs/>
          <w:sz w:val="24"/>
          <w:szCs w:val="15"/>
        </w:rPr>
      </w:pPr>
    </w:p>
    <w:p w:rsidR="00293F5D" w:rsidRDefault="00DE440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br w:type="page"/>
      </w: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293F5D" w:rsidRDefault="00293F5D">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293F5D" w:rsidRDefault="00293F5D">
      <w:pPr>
        <w:adjustRightInd w:val="0"/>
        <w:snapToGrid w:val="0"/>
        <w:spacing w:line="0" w:lineRule="atLeast"/>
        <w:rPr>
          <w:rFonts w:ascii="Times New Roman" w:hAnsi="Times New Roman"/>
          <w:b/>
          <w:bCs/>
          <w:szCs w:val="21"/>
        </w:rPr>
      </w:pPr>
      <w:bookmarkStart w:id="5" w:name="_Toc310770512"/>
      <w:bookmarkStart w:id="6" w:name="_Toc310836822"/>
      <w:bookmarkStart w:id="7" w:name="_Toc310836824"/>
      <w:bookmarkStart w:id="8" w:name="_Toc310770285"/>
      <w:bookmarkStart w:id="9" w:name="_Toc310770513"/>
      <w:bookmarkStart w:id="10" w:name="_Toc310770283"/>
      <w:bookmarkStart w:id="11" w:name="_Toc310836823"/>
      <w:bookmarkStart w:id="12" w:name="_Toc310773098"/>
      <w:bookmarkStart w:id="13" w:name="_Toc310773099"/>
      <w:bookmarkStart w:id="14" w:name="_Toc310243214"/>
      <w:bookmarkStart w:id="15" w:name="_Toc310773100"/>
      <w:bookmarkStart w:id="16" w:name="_Toc310770284"/>
      <w:bookmarkStart w:id="17" w:name="_Toc310770287"/>
      <w:bookmarkStart w:id="18" w:name="_Toc310243213"/>
      <w:bookmarkStart w:id="19" w:name="_Toc310770511"/>
      <w:bookmarkStart w:id="20" w:name="_Toc31024321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b/>
          <w:bCs/>
          <w:szCs w:val="21"/>
        </w:rPr>
        <w:t>风险提示：</w:t>
      </w:r>
    </w:p>
    <w:p w:rsidR="00293F5D" w:rsidRDefault="00293F5D">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21" w:name="_Hlk41679176"/>
      <w:r>
        <w:rPr>
          <w:rFonts w:ascii="Times New Roman" w:hAnsi="Times New Roman"/>
          <w:b/>
          <w:bCs/>
          <w:szCs w:val="21"/>
        </w:rPr>
        <w:t>《投资者权益须知》</w:t>
      </w:r>
      <w:bookmarkEnd w:id="20"/>
      <w:r>
        <w:rPr>
          <w:rFonts w:ascii="Times New Roman" w:hAnsi="Times New Roman"/>
          <w:b/>
          <w:bCs/>
          <w:szCs w:val="21"/>
        </w:rPr>
        <w:t>《理财产品投资协议书》，充分认识投资风险，谨慎投资。</w:t>
      </w:r>
    </w:p>
    <w:p w:rsidR="00293F5D" w:rsidRDefault="00293F5D">
      <w:pPr>
        <w:tabs>
          <w:tab w:val="left" w:pos="7920"/>
          <w:tab w:val="left" w:pos="8100"/>
        </w:tabs>
        <w:spacing w:line="0" w:lineRule="atLeast"/>
        <w:rPr>
          <w:rFonts w:ascii="Times New Roman" w:hAnsi="Times New Roman"/>
          <w:b/>
          <w:bCs/>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293F5D" w:rsidRDefault="00293F5D">
      <w:pPr>
        <w:spacing w:line="200" w:lineRule="exact"/>
        <w:ind w:firstLineChars="200" w:firstLine="300"/>
        <w:rPr>
          <w:rFonts w:ascii="Times New Roman" w:eastAsia="方正细黑一简体" w:hAnsi="Times New Roman"/>
          <w:sz w:val="15"/>
          <w:szCs w:val="15"/>
        </w:rPr>
      </w:pPr>
    </w:p>
    <w:p w:rsidR="00293F5D" w:rsidRDefault="00293F5D">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293F5D" w:rsidRDefault="00293F5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293F5D" w:rsidRDefault="00293F5D">
      <w:pPr>
        <w:pStyle w:val="10"/>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293F5D" w:rsidRDefault="00293F5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【】作为本理财产品的销售机构，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293F5D" w:rsidRDefault="00293F5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Times New Roman" w:hAnsi="Times New Roman"/>
          <w:spacing w:val="10"/>
          <w:sz w:val="15"/>
          <w:szCs w:val="15"/>
        </w:rPr>
        <w:t>，在实际发生时列支。</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293F5D" w:rsidRDefault="00293F5D">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甲方有权调整本理财产品的认购或申购起点、单笔认购或申购上限等要素。</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293F5D" w:rsidRDefault="00293F5D">
      <w:pPr>
        <w:numPr>
          <w:ilvl w:val="0"/>
          <w:numId w:val="6"/>
        </w:numPr>
        <w:spacing w:line="200" w:lineRule="exact"/>
        <w:ind w:firstLineChars="200" w:firstLine="341"/>
        <w:rPr>
          <w:rFonts w:ascii="Times New Roman" w:hAnsi="Times New Roman"/>
          <w:b/>
          <w:bCs/>
          <w:spacing w:val="10"/>
          <w:sz w:val="15"/>
          <w:szCs w:val="15"/>
        </w:rPr>
      </w:pPr>
      <w:bookmarkStart w:id="22"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或销售机构</w:t>
      </w:r>
      <w:r>
        <w:rPr>
          <w:rFonts w:ascii="Times New Roman" w:hAnsi="Times New Roman"/>
          <w:b/>
          <w:spacing w:val="10"/>
          <w:sz w:val="15"/>
        </w:rPr>
        <w:t>有权将此损失及费用从乙方的授权指定账户、理财本金及收益中扣除</w:t>
      </w:r>
      <w:r>
        <w:rPr>
          <w:rFonts w:ascii="Times New Roman" w:hAnsi="Times New Roman"/>
          <w:b/>
          <w:bCs/>
          <w:spacing w:val="10"/>
          <w:sz w:val="15"/>
          <w:szCs w:val="15"/>
        </w:rPr>
        <w:t>。</w:t>
      </w:r>
    </w:p>
    <w:p w:rsidR="00293F5D" w:rsidRDefault="00293F5D">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bookmarkEnd w:id="21"/>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3" w:name="_Hlk41902131"/>
      <w:r>
        <w:rPr>
          <w:rFonts w:ascii="Times New Roman" w:hAnsi="Times New Roman"/>
          <w:spacing w:val="10"/>
          <w:sz w:val="15"/>
          <w:szCs w:val="15"/>
        </w:rPr>
        <w:t>理财产品</w:t>
      </w:r>
      <w:bookmarkEnd w:id="22"/>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293F5D" w:rsidRDefault="00293F5D">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乙方应当保证其理财资金为合法拥有的自有资金，不存在涉嫌洗钱、恶意逃避税收征收管理等违法违规行为，保证可提供资金来源合法的证明文件</w:t>
      </w:r>
      <w:bookmarkStart w:id="24"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3"/>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乙方是一家按照中国法律正式注册并有效存续的法人或其他组织，具有拥有和支配其财产以及继续进行其正在进行之业务的全部权力和授权。（机构投资者适用）</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293F5D" w:rsidRDefault="00293F5D">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系其真实意思表示，其有权利签署本协议和履行本协议所述的义务，并已为此采取一切所需的行为。</w:t>
      </w:r>
    </w:p>
    <w:p w:rsidR="00293F5D" w:rsidRDefault="00293F5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5" w:name="_Hlk41902655"/>
      <w:r>
        <w:rPr>
          <w:rFonts w:ascii="Times New Roman" w:hAnsi="Times New Roman"/>
          <w:spacing w:val="10"/>
          <w:sz w:val="15"/>
          <w:szCs w:val="15"/>
        </w:rPr>
        <w:t>或其他法律文件</w:t>
      </w:r>
      <w:bookmarkEnd w:id="24"/>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293F5D" w:rsidRDefault="00293F5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293F5D" w:rsidRDefault="00293F5D">
      <w:pPr>
        <w:pStyle w:val="ac"/>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或销售机构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或销售机构</w:t>
      </w:r>
      <w:r>
        <w:rPr>
          <w:rFonts w:ascii="Times New Roman" w:hAnsi="Times New Roman"/>
          <w:b/>
          <w:spacing w:val="10"/>
          <w:sz w:val="15"/>
        </w:rPr>
        <w:t>根据实际情况采取的任何措施，包括但不限于全部或部分终止理财交易、停止向投资者支付投资本金及投资收益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或销售机构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或销售机构</w:t>
      </w:r>
      <w:r>
        <w:rPr>
          <w:rFonts w:ascii="Times New Roman" w:hAnsi="Times New Roman"/>
          <w:b/>
          <w:spacing w:val="10"/>
          <w:sz w:val="15"/>
        </w:rPr>
        <w:t>对上述后果承担任何责任</w:t>
      </w:r>
      <w:r>
        <w:rPr>
          <w:rFonts w:ascii="Times New Roman" w:hAnsi="Times New Roman"/>
          <w:spacing w:val="10"/>
          <w:sz w:val="15"/>
          <w:szCs w:val="15"/>
        </w:rPr>
        <w:t>。</w:t>
      </w:r>
    </w:p>
    <w:p w:rsidR="00293F5D" w:rsidRDefault="00293F5D">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6"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5"/>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293F5D" w:rsidRDefault="00293F5D">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293F5D" w:rsidRDefault="00293F5D">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7" w:name="_Hlk41902728"/>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（该产品通过代理销售机构渠道销售的，理财产品评级应当以代理销售机构最终披露的评级结果为准）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293F5D" w:rsidRDefault="00293F5D">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93F5D" w:rsidRDefault="00293F5D">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6"/>
    </w:p>
    <w:p w:rsidR="00293F5D" w:rsidRDefault="00293F5D">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293F5D" w:rsidRDefault="00293F5D">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8" w:name="_Hlk41902781"/>
      <w:r>
        <w:rPr>
          <w:rFonts w:ascii="Times New Roman" w:hAnsi="Times New Roman"/>
          <w:spacing w:val="10"/>
          <w:sz w:val="15"/>
          <w:szCs w:val="15"/>
        </w:rPr>
        <w:t>资金支付</w:t>
      </w:r>
      <w:bookmarkEnd w:id="27"/>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9"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8"/>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293F5D" w:rsidRDefault="00293F5D">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293F5D" w:rsidRDefault="00293F5D">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国家有关法律、法规、规章、监管规定、政策的改变、紧急措施的出台、理财市场环境发生重大变化等导致理财产品必须提前终止的；</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理财产品所投资资产部分或全部提前偿付；</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293F5D" w:rsidRDefault="00293F5D">
      <w:pPr>
        <w:pStyle w:val="10"/>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293F5D" w:rsidRDefault="00293F5D">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293F5D" w:rsidRDefault="00293F5D">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销售文件约定的方式进行</w:t>
      </w:r>
      <w:r>
        <w:rPr>
          <w:rFonts w:ascii="Times New Roman" w:hAnsi="Times New Roman"/>
          <w:bCs/>
          <w:spacing w:val="10"/>
          <w:sz w:val="15"/>
          <w:szCs w:val="15"/>
        </w:rPr>
        <w:t>信息披露。</w:t>
      </w:r>
    </w:p>
    <w:p w:rsidR="00293F5D" w:rsidRDefault="00293F5D">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93F5D" w:rsidRDefault="00293F5D">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293F5D" w:rsidRDefault="00293F5D">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293F5D" w:rsidRDefault="00293F5D">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个工作日的，应当在理财产品终止前，将依约定进行公告。</w:t>
      </w:r>
      <w:r>
        <w:rPr>
          <w:rFonts w:ascii="Times New Roman" w:hAnsi="Times New Roman"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293F5D" w:rsidRDefault="00293F5D">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293F5D" w:rsidRDefault="00293F5D">
      <w:pPr>
        <w:numPr>
          <w:ilvl w:val="0"/>
          <w:numId w:val="13"/>
        </w:num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若因国家法律法规、监管规定发生变化，甲方有权单方面对</w:t>
      </w:r>
      <w:r>
        <w:rPr>
          <w:rFonts w:ascii="Times New Roman" w:hAnsi="Times New Roman"/>
          <w:b/>
          <w:spacing w:val="10"/>
          <w:sz w:val="15"/>
          <w:szCs w:val="15"/>
        </w:rPr>
        <w:t>本理财产品的《理财产品销售协议书》《理财产品说明书》《理财产品风险揭示书》《投资者权益须知》《理财产品投资协议书》等相关销售文件进行修订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。投资者在此同意，修订后的销售文件对投资者具有法律约束力；</w:t>
      </w:r>
    </w:p>
    <w:p w:rsidR="00293F5D" w:rsidRDefault="00293F5D">
      <w:pPr>
        <w:numPr>
          <w:ilvl w:val="0"/>
          <w:numId w:val="13"/>
        </w:num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若因</w:t>
      </w:r>
      <w:r>
        <w:rPr>
          <w:rFonts w:ascii="Times New Roman" w:hAnsi="Times New Roman"/>
          <w:b/>
          <w:spacing w:val="10"/>
          <w:sz w:val="15"/>
          <w:szCs w:val="15"/>
        </w:rPr>
        <w:t>市场情况等发生变化或是出于维护本理财产品正常运营或管理的需要，或基于甲方合理认定的其他情形，</w:t>
      </w:r>
      <w:r>
        <w:rPr>
          <w:rFonts w:ascii="Times New Roman" w:hAnsi="Times New Roman" w:hint="eastAsia"/>
          <w:b/>
          <w:spacing w:val="10"/>
          <w:sz w:val="15"/>
          <w:szCs w:val="15"/>
        </w:rPr>
        <w:t>且投资者无法发起赎回申请时，</w:t>
      </w:r>
      <w:r>
        <w:rPr>
          <w:rFonts w:ascii="Times New Roman" w:hAnsi="Times New Roman"/>
          <w:b/>
          <w:spacing w:val="10"/>
          <w:sz w:val="15"/>
          <w:szCs w:val="15"/>
        </w:rPr>
        <w:t>甲方有权单方面对本理财产品的销售文件进行修订，包括但不限于</w:t>
      </w:r>
      <w:r>
        <w:rPr>
          <w:rFonts w:ascii="Times New Roman" w:hAnsi="Times New Roman" w:hint="eastAsia"/>
          <w:b/>
          <w:spacing w:val="10"/>
          <w:sz w:val="15"/>
          <w:szCs w:val="15"/>
        </w:rPr>
        <w:t>对本理财产品的投资范围、投资资产种类、投资比例或已约定的收费项目、条件、标准和方式等进行调整，</w:t>
      </w:r>
      <w:r>
        <w:rPr>
          <w:rFonts w:ascii="Times New Roman" w:hAnsi="Times New Roman"/>
          <w:b/>
          <w:spacing w:val="10"/>
          <w:sz w:val="15"/>
          <w:szCs w:val="15"/>
        </w:rPr>
        <w:t>并</w:t>
      </w:r>
      <w:r>
        <w:rPr>
          <w:rFonts w:ascii="Times New Roman" w:hAnsi="Times New Roman" w:hint="eastAsia"/>
          <w:b/>
          <w:spacing w:val="10"/>
          <w:sz w:val="15"/>
          <w:szCs w:val="15"/>
        </w:rPr>
        <w:t>通过短信及南银理财官网等渠道</w:t>
      </w:r>
      <w:r>
        <w:rPr>
          <w:rFonts w:ascii="Times New Roman" w:hAnsi="Times New Roman"/>
          <w:b/>
          <w:spacing w:val="10"/>
          <w:sz w:val="15"/>
          <w:szCs w:val="15"/>
        </w:rPr>
        <w:t>进行信息披露</w:t>
      </w:r>
      <w:r>
        <w:rPr>
          <w:rFonts w:ascii="Times New Roman" w:hAnsi="Times New Roman"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93F5D" w:rsidRDefault="00293F5D">
      <w:pPr>
        <w:numPr>
          <w:ilvl w:val="0"/>
          <w:numId w:val="13"/>
        </w:num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免责条款</w:t>
      </w:r>
    </w:p>
    <w:p w:rsidR="00293F5D" w:rsidRDefault="00293F5D">
      <w:pPr>
        <w:pStyle w:val="10"/>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93F5D" w:rsidRDefault="00293F5D">
      <w:pPr>
        <w:pStyle w:val="10"/>
        <w:numPr>
          <w:ilvl w:val="0"/>
          <w:numId w:val="14"/>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30" w:name="_Hlk41903042"/>
      <w:r>
        <w:rPr>
          <w:rFonts w:ascii="Times New Roman" w:hAnsi="Times New Roman"/>
          <w:bCs/>
          <w:spacing w:val="10"/>
          <w:sz w:val="15"/>
          <w:szCs w:val="15"/>
        </w:rPr>
        <w:t>地震、台风、海啸、洪水、火灾、停电、突发性公共卫生事件、</w:t>
      </w:r>
      <w:bookmarkStart w:id="31" w:name="_Hlk41862861"/>
      <w:bookmarkEnd w:id="29"/>
      <w:r>
        <w:rPr>
          <w:rFonts w:ascii="Times New Roman" w:hAnsi="Times New Roman"/>
          <w:bCs/>
          <w:spacing w:val="10"/>
          <w:sz w:val="15"/>
          <w:szCs w:val="15"/>
        </w:rPr>
        <w:t>罢工、内战、战争、军事行动、任何种类的恐怖活动、暴动、公众示威或抗议</w:t>
      </w:r>
      <w:bookmarkStart w:id="32" w:name="_Hlk41903076"/>
      <w:bookmarkEnd w:id="30"/>
      <w:r>
        <w:rPr>
          <w:rFonts w:ascii="Times New Roman" w:hAnsi="Times New Roman"/>
          <w:bCs/>
          <w:spacing w:val="10"/>
          <w:sz w:val="15"/>
          <w:szCs w:val="15"/>
        </w:rPr>
        <w:t>；新的适用法律或国家政策的颁布或实施、对原适用法律或国家政策的修改；</w:t>
      </w:r>
      <w:bookmarkStart w:id="33" w:name="_Hlk41862959"/>
      <w:bookmarkEnd w:id="31"/>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2"/>
      <w:r>
        <w:rPr>
          <w:rFonts w:ascii="Times New Roman" w:hAnsi="Times New Roman"/>
          <w:bCs/>
          <w:spacing w:val="10"/>
          <w:sz w:val="15"/>
          <w:szCs w:val="15"/>
        </w:rPr>
        <w:t>；</w:t>
      </w:r>
      <w:bookmarkStart w:id="34"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3"/>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的支付将由甲方按完全自行酌情决定顺延至紧临的下一个不存在不可抗力的工作日。乙方将不会因此而收到额外的收益或者补偿。</w:t>
      </w:r>
    </w:p>
    <w:p w:rsidR="00293F5D" w:rsidRDefault="00293F5D">
      <w:pPr>
        <w:pStyle w:val="10"/>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293F5D" w:rsidRDefault="00293F5D">
      <w:pPr>
        <w:pStyle w:val="10"/>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293F5D" w:rsidRDefault="00293F5D">
      <w:pPr>
        <w:spacing w:line="200" w:lineRule="exact"/>
        <w:ind w:firstLineChars="200" w:firstLine="340"/>
        <w:rPr>
          <w:rFonts w:ascii="Times New Roman" w:hAnsi="Times New Roman"/>
          <w:spacing w:val="10"/>
          <w:sz w:val="15"/>
          <w:szCs w:val="15"/>
        </w:rPr>
      </w:pPr>
      <w:bookmarkStart w:id="35" w:name="_Hlk50135417"/>
      <w:r>
        <w:rPr>
          <w:rFonts w:ascii="Times New Roman" w:hAnsi="Times New Roman"/>
          <w:spacing w:val="10"/>
          <w:sz w:val="15"/>
          <w:szCs w:val="15"/>
        </w:rPr>
        <w:t>由于本协议一方当事人的过错，造成本协议不能履行或不能完全履行的，由有过错的一方承担违约责任；如双方同时负有过错，则应由双方各自按照过错程度承担责任。</w:t>
      </w:r>
      <w:bookmarkEnd w:id="34"/>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或遵守与其他银行、金融机构达成的业务交易协议而导致甲方延迟执行乙方指示或者未能执行乙方指示或使乙方产生任何责任、损失或支出，甲方无需负责</w:t>
      </w:r>
      <w:r>
        <w:rPr>
          <w:rFonts w:ascii="Times New Roman" w:hAnsi="Times New Roman"/>
          <w:spacing w:val="10"/>
          <w:sz w:val="15"/>
          <w:szCs w:val="15"/>
        </w:rPr>
        <w:t>。</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抵销</w:t>
      </w:r>
    </w:p>
    <w:p w:rsidR="00293F5D" w:rsidRDefault="00293F5D">
      <w:pPr>
        <w:pStyle w:val="10"/>
        <w:numPr>
          <w:ilvl w:val="0"/>
          <w:numId w:val="15"/>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293F5D" w:rsidRDefault="00293F5D">
      <w:pPr>
        <w:pStyle w:val="10"/>
        <w:numPr>
          <w:ilvl w:val="0"/>
          <w:numId w:val="15"/>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弃权</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可分割性</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税收条款</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293F5D" w:rsidRDefault="00293F5D">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本协议在履行过程中发生争议，可以通过协商解决；协商不成的，任何一方有权向甲方所在地有管辖权的人民法院提起诉讼。</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293F5D" w:rsidRDefault="00293F5D">
      <w:pPr>
        <w:numPr>
          <w:ilvl w:val="0"/>
          <w:numId w:val="16"/>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293F5D" w:rsidRDefault="00293F5D">
      <w:pPr>
        <w:numPr>
          <w:ilvl w:val="0"/>
          <w:numId w:val="1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293F5D" w:rsidRDefault="00293F5D">
      <w:pPr>
        <w:numPr>
          <w:ilvl w:val="0"/>
          <w:numId w:val="1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申购的具体内容（包括但不限于交易变更、金额变更、授权指定账户变更、投资者信息变更等），则以双方最近一次交易达成的交易内容为准。</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293F5D" w:rsidRDefault="00293F5D">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93F5D" w:rsidRDefault="00293F5D">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6" w:name="_Toc313550351"/>
    </w:p>
    <w:p w:rsidR="00293F5D" w:rsidRDefault="00293F5D">
      <w:pPr>
        <w:spacing w:line="200" w:lineRule="exact"/>
        <w:ind w:firstLineChars="200" w:firstLine="340"/>
        <w:rPr>
          <w:rFonts w:ascii="Times New Roman" w:hAnsi="Times New Roman"/>
          <w:spacing w:val="10"/>
          <w:sz w:val="15"/>
          <w:szCs w:val="15"/>
        </w:rPr>
      </w:pPr>
    </w:p>
    <w:p w:rsidR="00293F5D" w:rsidRDefault="00293F5D">
      <w:pPr>
        <w:spacing w:line="200" w:lineRule="exact"/>
        <w:ind w:firstLineChars="200" w:firstLine="340"/>
        <w:rPr>
          <w:rFonts w:ascii="Times New Roman" w:hAnsi="Times New Roman"/>
          <w:spacing w:val="10"/>
          <w:sz w:val="15"/>
          <w:szCs w:val="15"/>
        </w:rPr>
      </w:pPr>
    </w:p>
    <w:tbl>
      <w:tblPr>
        <w:tblW w:w="0" w:type="auto"/>
        <w:tblInd w:w="0" w:type="dxa"/>
        <w:tblLayout w:type="fixed"/>
        <w:tblLook w:val="0000" w:firstRow="0" w:lastRow="0" w:firstColumn="0" w:lastColumn="0" w:noHBand="0" w:noVBand="0"/>
      </w:tblPr>
      <w:tblGrid>
        <w:gridCol w:w="5341"/>
        <w:gridCol w:w="5341"/>
      </w:tblGrid>
      <w:tr w:rsidR="00293F5D">
        <w:tc>
          <w:tcPr>
            <w:tcW w:w="5341" w:type="dxa"/>
            <w:shd w:val="clear" w:color="auto" w:fill="auto"/>
          </w:tcPr>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shd w:val="clear" w:color="auto" w:fill="auto"/>
          </w:tcPr>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293F5D">
        <w:tc>
          <w:tcPr>
            <w:tcW w:w="5341" w:type="dxa"/>
            <w:shd w:val="clear" w:color="auto" w:fill="auto"/>
          </w:tcPr>
          <w:p w:rsidR="00293F5D" w:rsidRDefault="00293F5D">
            <w:pPr>
              <w:spacing w:line="200" w:lineRule="exact"/>
              <w:ind w:firstLineChars="200" w:firstLine="340"/>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293F5D" w:rsidRDefault="00293F5D">
            <w:pPr>
              <w:spacing w:line="200" w:lineRule="exact"/>
              <w:ind w:firstLineChars="400" w:firstLine="680"/>
              <w:rPr>
                <w:rFonts w:ascii="Times New Roman" w:hAnsi="Times New Roman"/>
                <w:spacing w:val="10"/>
                <w:sz w:val="15"/>
                <w:szCs w:val="15"/>
              </w:rPr>
            </w:pPr>
          </w:p>
          <w:p w:rsidR="00293F5D" w:rsidRDefault="00293F5D">
            <w:pPr>
              <w:spacing w:line="200" w:lineRule="exact"/>
              <w:ind w:firstLineChars="500" w:firstLine="850"/>
              <w:rPr>
                <w:rFonts w:ascii="Times New Roman" w:hAnsi="Times New Roman"/>
                <w:spacing w:val="10"/>
                <w:sz w:val="15"/>
                <w:szCs w:val="15"/>
              </w:rPr>
            </w:pPr>
          </w:p>
          <w:p w:rsidR="00293F5D" w:rsidRDefault="00293F5D">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shd w:val="clear" w:color="auto" w:fill="auto"/>
          </w:tcPr>
          <w:p w:rsidR="00293F5D" w:rsidRDefault="00293F5D">
            <w:pPr>
              <w:spacing w:line="200" w:lineRule="exact"/>
              <w:ind w:firstLineChars="200" w:firstLine="340"/>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293F5D" w:rsidRDefault="00293F5D">
            <w:pPr>
              <w:spacing w:line="200" w:lineRule="exact"/>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293F5D" w:rsidRDefault="00293F5D">
            <w:pPr>
              <w:spacing w:line="200" w:lineRule="exact"/>
              <w:ind w:firstLineChars="400" w:firstLine="680"/>
              <w:rPr>
                <w:rFonts w:ascii="Times New Roman" w:hAnsi="Times New Roman"/>
                <w:spacing w:val="10"/>
                <w:sz w:val="15"/>
                <w:szCs w:val="15"/>
              </w:rPr>
            </w:pPr>
          </w:p>
          <w:p w:rsidR="00293F5D" w:rsidRDefault="00293F5D">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293F5D" w:rsidRDefault="00293F5D">
      <w:pPr>
        <w:spacing w:line="200" w:lineRule="exact"/>
        <w:rPr>
          <w:rFonts w:ascii="Times New Roman" w:hAnsi="Times New Roman"/>
          <w:spacing w:val="10"/>
          <w:sz w:val="15"/>
          <w:szCs w:val="15"/>
        </w:rPr>
      </w:pPr>
    </w:p>
    <w:bookmarkEnd w:id="35"/>
    <w:p w:rsidR="00293F5D" w:rsidRDefault="00293F5D">
      <w:pPr>
        <w:spacing w:line="240" w:lineRule="exact"/>
        <w:rPr>
          <w:rFonts w:ascii="Times New Roman" w:hAnsi="Times New Roman"/>
          <w:sz w:val="22"/>
        </w:rPr>
      </w:pPr>
      <w:r>
        <w:rPr>
          <w:rFonts w:ascii="Times New Roman" w:hAnsi="Times New Roman"/>
        </w:rPr>
        <w:br w:type="page"/>
      </w:r>
    </w:p>
    <w:p w:rsidR="00293F5D" w:rsidRDefault="00293F5D">
      <w:pPr>
        <w:pStyle w:val="12"/>
        <w:spacing w:line="360" w:lineRule="auto"/>
        <w:ind w:firstLineChars="0" w:firstLine="0"/>
        <w:jc w:val="center"/>
        <w:rPr>
          <w:rFonts w:ascii="宋体" w:hAnsi="宋体" w:cs="宋体"/>
          <w:b/>
          <w:sz w:val="24"/>
          <w:szCs w:val="24"/>
        </w:rPr>
      </w:pPr>
      <w:r>
        <w:rPr>
          <w:rFonts w:ascii="宋体" w:hAnsi="宋体" w:cs="FZSSK--GBK1-0" w:hint="eastAsia"/>
          <w:b/>
          <w:kern w:val="0"/>
          <w:sz w:val="24"/>
          <w:szCs w:val="24"/>
        </w:rPr>
        <w:t>理财产品投资协议书</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293F5D" w:rsidRDefault="00293F5D">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293F5D" w:rsidRDefault="00293F5D">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293F5D" w:rsidRDefault="00293F5D">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2.按照法律法规及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4.甲方</w:t>
      </w:r>
      <w:r>
        <w:rPr>
          <w:rFonts w:ascii="宋体" w:hAnsi="宋体" w:cs="宋体"/>
          <w:sz w:val="22"/>
          <w:szCs w:val="24"/>
        </w:rPr>
        <w:t>有权按照对应期次《理财产品说明书》的约定收取相应费用。</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293F5D" w:rsidRDefault="00293F5D">
      <w:pPr>
        <w:pStyle w:val="12"/>
        <w:spacing w:line="360" w:lineRule="auto"/>
        <w:ind w:firstLine="440"/>
        <w:rPr>
          <w:rFonts w:ascii="宋体" w:hAnsi="宋体" w:cs="宋体"/>
          <w:b/>
          <w:bCs/>
          <w:sz w:val="22"/>
          <w:szCs w:val="24"/>
        </w:rPr>
      </w:pPr>
      <w:r>
        <w:rPr>
          <w:rFonts w:ascii="宋体" w:hAnsi="宋体" w:cs="宋体" w:hint="eastAsia"/>
          <w:sz w:val="22"/>
          <w:szCs w:val="24"/>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10.法律法规规定或理财产品销售文件约定的其它权利及义务。</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293F5D" w:rsidRDefault="00293F5D">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5.乙方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10.乙方对因购买、持有本理财产品而知悉的甲方及销售机构保密信息承担保密义务，乙方承诺不以任何方式向任何第三方披露甲方或销售机构的保密信息，法律法规另有规定的除外。</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11.法律法规规定或理财产品销售文件约定的其它权利及义务。</w:t>
      </w:r>
    </w:p>
    <w:p w:rsidR="00293F5D" w:rsidRDefault="00293F5D">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rsidR="00293F5D" w:rsidRDefault="00293F5D">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93F5D" w:rsidRDefault="00293F5D">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293F5D" w:rsidRDefault="00293F5D">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93F5D" w:rsidRDefault="00293F5D">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293F5D" w:rsidRDefault="00293F5D">
      <w:pPr>
        <w:pStyle w:val="12"/>
        <w:spacing w:line="360" w:lineRule="auto"/>
        <w:ind w:firstLine="440"/>
        <w:rPr>
          <w:rFonts w:ascii="宋体" w:hAnsi="宋体" w:cs="宋体"/>
          <w:sz w:val="22"/>
          <w:szCs w:val="24"/>
        </w:rPr>
      </w:pPr>
    </w:p>
    <w:p w:rsidR="00293F5D" w:rsidRDefault="00293F5D">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请投资者在购买本理财产品前认真阅读以上条款，尤其是加粗的条款。如果投资者不同意本协议的任何内容，或者无法准确理解相关条款的解释，请不要进行后续操作。</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293F5D" w:rsidRDefault="00293F5D">
      <w:pPr>
        <w:pStyle w:val="12"/>
        <w:spacing w:line="360" w:lineRule="auto"/>
        <w:ind w:firstLine="440"/>
        <w:rPr>
          <w:rFonts w:ascii="宋体" w:hAnsi="宋体" w:cs="宋体"/>
          <w:sz w:val="22"/>
          <w:szCs w:val="24"/>
        </w:rPr>
      </w:pPr>
    </w:p>
    <w:p w:rsidR="00293F5D" w:rsidRDefault="00293F5D">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bookmarkEnd w:id="36"/>
    <w:p w:rsidR="00710A66" w:rsidRDefault="00710A66">
      <w:pPr>
        <w:widowControl/>
        <w:jc w:val="left"/>
        <w:rPr>
          <w:rFonts w:ascii="Times New Roman" w:hAnsi="Times New Roman"/>
        </w:rPr>
      </w:pPr>
    </w:p>
    <w:p>
      <w:r>
        <w:br w:type="page"/>
      </w:r>
    </w:p>
    <w:sectPr w:rsidR="00AB4DE4">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E4" w:rsidRDefault="005754F6">
      <w:r>
        <w:separator/>
      </w:r>
    </w:p>
  </w:endnote>
  <w:endnote w:type="continuationSeparator" w:id="0">
    <w:p w:rsidR="00AB4DE4" w:rsidRDefault="0057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Arial Unicode MS"/>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E4" w:rsidRDefault="005754F6">
      <w:r>
        <w:separator/>
      </w:r>
    </w:p>
  </w:footnote>
  <w:footnote w:type="continuationSeparator" w:id="0">
    <w:p w:rsidR="00AB4DE4" w:rsidRDefault="0057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E4" w:rsidRDefault="005754F6">
    <w:pPr>
      <w:pStyle w:val="a4"/>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1">
    <w:nsid w:val="CF092B84"/>
    <w:multiLevelType w:val="multilevel"/>
    <w:tmpl w:val="CF092B84"/>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nsid w:val="59ADCABA"/>
    <w:multiLevelType w:val="multilevel"/>
    <w:tmpl w:val="59ADCABA"/>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4">
    <w:nsid w:val="0048C59A"/>
    <w:multiLevelType w:val="singleLevel"/>
    <w:tmpl w:val="5DF84C9C"/>
    <w:lvl w:ilvl="0">
      <w:start w:val="1"/>
      <w:numFmt w:val="decimal"/>
      <w:suff w:val="nothing"/>
      <w:lvlText w:val="%1."/>
      <w:lvlJc w:val="left"/>
    </w:lvl>
  </w:abstractNum>
  <w:abstractNum w:abstractNumId="5">
    <w:nsid w:val="05AB1159"/>
    <w:multiLevelType w:val="singleLevel"/>
    <w:tmpl w:val="5DF84CBD"/>
    <w:lvl w:ilvl="0">
      <w:start w:val="1"/>
      <w:numFmt w:val="decimal"/>
      <w:suff w:val="nothing"/>
      <w:lvlText w:val="（%1）"/>
      <w:lvlJc w:val="left"/>
    </w:lvl>
  </w:abstractNum>
  <w:abstractNum w:abstractNumId="6">
    <w:nsid w:val="045F7153"/>
    <w:multiLevelType w:val="singleLevel"/>
    <w:tmpl w:val="5DF84D07"/>
    <w:lvl w:ilvl="0">
      <w:start w:val="1"/>
      <w:numFmt w:val="decimal"/>
      <w:suff w:val="nothing"/>
      <w:lvlText w:val="（%1）"/>
      <w:lvlJc w:val="left"/>
    </w:lvl>
  </w:abstractNum>
  <w:abstractNum w:abstractNumId="7">
    <w:nsid w:val="0336C78E"/>
    <w:multiLevelType w:val="singleLevel"/>
    <w:tmpl w:val="510A3506"/>
    <w:lvl w:ilvl="0">
      <w:start w:val="1"/>
      <w:numFmt w:val="decimal"/>
      <w:suff w:val="nothing"/>
      <w:lvlText w:val="（%1）"/>
      <w:lvlJc w:val="left"/>
    </w:lvl>
  </w:abstractNum>
  <w:abstractNum w:abstractNumId="8">
    <w:nsid w:val="0288488C"/>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3E7BBFE"/>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28E1ED0"/>
    <w:multiLevelType w:val="singleLevel"/>
    <w:tmpl w:val="7A29506B"/>
    <w:lvl w:ilvl="0">
      <w:start w:val="1"/>
      <w:numFmt w:val="decimal"/>
      <w:suff w:val="nothing"/>
      <w:lvlText w:val="（%1）"/>
      <w:lvlJc w:val="left"/>
    </w:lvl>
  </w:abstractNum>
  <w:abstractNum w:abstractNumId="11">
    <w:nsid w:val="0085282B"/>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2CEFE2C"/>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4E6AC96"/>
    <w:multiLevelType w:val="singleLevel"/>
    <w:tmpl w:val="6D2A3EBA"/>
    <w:lvl w:ilvl="0">
      <w:start w:val="1"/>
      <w:numFmt w:val="decimal"/>
      <w:suff w:val="nothing"/>
      <w:lvlText w:val="（%1）"/>
      <w:lvlJc w:val="left"/>
    </w:lvl>
  </w:abstractNum>
  <w:num w:numId="1">
    <w:abstractNumId w:val="2"/>
  </w:num>
  <w:num w:numId="2">
    <w:abstractNumId w:val="1"/>
  </w:num>
  <w:num w:numId="3">
    <w:abstractNumId w:val="3"/>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8"/>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420"/>
  <w:drawingGridHorizontalSpacing w:val="1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M1ZGZjZGI0NDAxNWRlYTU1MDQzODcxYWQzMWNkMWYifQ=="/>
  </w:docVars>
  <w:rsids>
    <w:rsidRoot w:val="00AB4DE4"/>
    <w:rsid w:val="005754F6"/>
    <w:rsid w:val="00AB4DE4"/>
    <w:rsid w:val="062C6F51"/>
    <w:rsid w:val="0CD73DDA"/>
    <w:rsid w:val="0EB76F63"/>
    <w:rsid w:val="1360648C"/>
    <w:rsid w:val="17D51E18"/>
    <w:rsid w:val="29CA2459"/>
    <w:rsid w:val="46BE663B"/>
    <w:rsid w:val="5A622623"/>
    <w:rsid w:val="691D1C7A"/>
    <w:rsid w:val="6EF80540"/>
    <w:rsid w:val="7C845AC5"/>
    <w:rsid w:val="7D10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445D643-00E4-4A7B-B1E2-FB8FC76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方正黑体_GBK" w:eastAsia="方正黑体_GBK" w:hAnsi="方正黑体_GBK"/>
      <w:kern w:val="2"/>
      <w:sz w:val="21"/>
      <w:szCs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qFormat/>
    <w:pPr>
      <w:ind w:left="1680"/>
    </w:pPr>
  </w:style>
  <w:style w:type="paragraph" w:styleId="30">
    <w:name w:val="toc 3"/>
    <w:basedOn w:val="a"/>
    <w:next w:val="a"/>
    <w:qFormat/>
    <w:pPr>
      <w:ind w:left="840"/>
    </w:pPr>
  </w:style>
  <w:style w:type="paragraph" w:styleId="a3">
    <w:name w:val="footer"/>
    <w:basedOn w:val="a"/>
    <w:qFormat/>
    <w:pPr>
      <w:tabs>
        <w:tab w:val="center" w:pos="4153"/>
        <w:tab w:val="right" w:pos="8307"/>
      </w:tabs>
      <w:snapToGrid w:val="0"/>
      <w:jc w:val="left"/>
    </w:pPr>
    <w:rPr>
      <w:sz w:val="18"/>
    </w:rPr>
  </w:style>
  <w:style w:type="paragraph" w:styleId="a4">
    <w:name w:val="header"/>
    <w:basedOn w:val="a"/>
    <w:qFormat/>
    <w:pPr>
      <w:pBdr>
        <w:bottom w:val="single" w:sz="6" w:space="1" w:color="auto"/>
      </w:pBdr>
      <w:tabs>
        <w:tab w:val="center" w:pos="4153"/>
        <w:tab w:val="right" w:pos="8307"/>
      </w:tabs>
      <w:snapToGrid w:val="0"/>
      <w:jc w:val="center"/>
    </w:pPr>
    <w:rPr>
      <w:sz w:val="18"/>
    </w:rPr>
  </w:style>
  <w:style w:type="paragraph" w:styleId="10">
    <w:name w:val="toc 1"/>
    <w:basedOn w:val="a"/>
    <w:next w:val="a"/>
    <w:qFormat/>
  </w:style>
  <w:style w:type="paragraph" w:styleId="4">
    <w:name w:val="toc 4"/>
    <w:basedOn w:val="a"/>
    <w:next w:val="a"/>
    <w:qFormat/>
    <w:pPr>
      <w:ind w:left="1260"/>
    </w:pPr>
  </w:style>
  <w:style w:type="paragraph" w:styleId="20">
    <w:name w:val="toc 2"/>
    <w:basedOn w:val="a"/>
    <w:next w:val="a"/>
    <w:qFormat/>
    <w:pPr>
      <w:ind w:left="420"/>
    </w:pPr>
  </w:style>
  <w:style w:type="character" w:styleId="a5">
    <w:name w:val="Strong"/>
    <w:qFormat/>
    <w:rPr>
      <w:b/>
    </w:rPr>
  </w:style>
  <w:style w:type="paragraph" w:customStyle="1" w:styleId="Normaledb33587">
    <w:name w:val="Normaledb33587"/>
    <w:qFormat/>
    <w:pPr>
      <w:widowControl w:val="0"/>
      <w:jc w:val="both"/>
    </w:pPr>
    <w:rPr>
      <w:rFonts w:ascii="方正黑体_GBK" w:eastAsia="方正黑体_GBK" w:hAnsi="方正黑体_GBK"/>
      <w:kern w:val="2"/>
      <w:sz w:val="21"/>
      <w:szCs w:val="21"/>
    </w:rPr>
  </w:style>
  <w:style w:type="paragraph" w:customStyle="1" w:styleId="heading19efaef28">
    <w:name w:val="heading 19efaef28"/>
    <w:basedOn w:val="Normaledb33587"/>
    <w:next w:val="a"/>
    <w:qFormat/>
    <w:pPr>
      <w:keepNext/>
      <w:keepLines/>
      <w:spacing w:before="340" w:after="330" w:line="578" w:lineRule="auto"/>
      <w:outlineLvl w:val="0"/>
    </w:pPr>
    <w:rPr>
      <w:b/>
      <w:bCs/>
      <w:kern w:val="44"/>
      <w:sz w:val="44"/>
    </w:rPr>
  </w:style>
  <w:style w:type="paragraph" w:customStyle="1" w:styleId="heading22c93e65e">
    <w:name w:val="heading 22c93e65e"/>
    <w:basedOn w:val="Normaledb33587"/>
    <w:next w:val="a"/>
    <w:qFormat/>
    <w:pPr>
      <w:keepNext/>
      <w:keepLines/>
      <w:spacing w:before="260" w:after="260" w:line="415" w:lineRule="auto"/>
      <w:outlineLvl w:val="1"/>
    </w:pPr>
    <w:rPr>
      <w:b/>
      <w:sz w:val="32"/>
    </w:rPr>
  </w:style>
  <w:style w:type="paragraph" w:customStyle="1" w:styleId="heading340df6127">
    <w:name w:val="heading 340df6127"/>
    <w:basedOn w:val="Normaledb33587"/>
    <w:next w:val="a"/>
    <w:qFormat/>
    <w:pPr>
      <w:keepNext/>
      <w:keepLines/>
      <w:spacing w:before="260" w:after="260" w:line="415" w:lineRule="auto"/>
      <w:outlineLvl w:val="2"/>
    </w:pPr>
    <w:rPr>
      <w:b/>
      <w:sz w:val="32"/>
    </w:rPr>
  </w:style>
  <w:style w:type="character" w:customStyle="1" w:styleId="DefaultParagraphFont35a3db13">
    <w:name w:val="Default Paragraph Font35a3db13"/>
    <w:qFormat/>
  </w:style>
  <w:style w:type="paragraph" w:customStyle="1" w:styleId="toc13e32d295">
    <w:name w:val="toc 13e32d295"/>
    <w:basedOn w:val="Normaledb33587"/>
    <w:next w:val="a"/>
    <w:qFormat/>
  </w:style>
  <w:style w:type="paragraph" w:customStyle="1" w:styleId="toc22cbc73a9">
    <w:name w:val="toc 22cbc73a9"/>
    <w:basedOn w:val="Normaledb33587"/>
    <w:next w:val="a"/>
    <w:qFormat/>
    <w:pPr>
      <w:ind w:left="420"/>
    </w:pPr>
  </w:style>
  <w:style w:type="paragraph" w:customStyle="1" w:styleId="toc336e0ed96">
    <w:name w:val="toc 336e0ed96"/>
    <w:basedOn w:val="Normaledb33587"/>
    <w:next w:val="a"/>
    <w:qFormat/>
    <w:pPr>
      <w:ind w:left="840"/>
    </w:pPr>
  </w:style>
  <w:style w:type="paragraph" w:customStyle="1" w:styleId="toc47297b8fd">
    <w:name w:val="toc 47297b8fd"/>
    <w:basedOn w:val="Normaledb33587"/>
    <w:next w:val="a"/>
    <w:qFormat/>
    <w:pPr>
      <w:ind w:left="1260"/>
    </w:pPr>
  </w:style>
  <w:style w:type="paragraph" w:customStyle="1" w:styleId="toc5d2a26212">
    <w:name w:val="toc 5d2a26212"/>
    <w:basedOn w:val="Normaledb33587"/>
    <w:next w:val="a"/>
    <w:qFormat/>
    <w:pPr>
      <w:ind w:left="1680"/>
    </w:pPr>
  </w:style>
  <w:style w:type="paragraph" w:customStyle="1" w:styleId="headerb4970a9f">
    <w:name w:val="headerb4970a9f"/>
    <w:basedOn w:val="Normaledb33587"/>
    <w:qFormat/>
    <w:pPr>
      <w:pBdr>
        <w:bottom w:val="single" w:sz="6" w:space="1" w:color="auto"/>
      </w:pBdr>
      <w:tabs>
        <w:tab w:val="center" w:pos="4153"/>
        <w:tab w:val="right" w:pos="8307"/>
      </w:tabs>
      <w:snapToGrid w:val="0"/>
      <w:jc w:val="center"/>
    </w:pPr>
    <w:rPr>
      <w:sz w:val="18"/>
    </w:rPr>
  </w:style>
  <w:style w:type="paragraph" w:customStyle="1" w:styleId="footerdd8e137b">
    <w:name w:val="footerdd8e137b"/>
    <w:basedOn w:val="Normaledb33587"/>
    <w:qFormat/>
    <w:pPr>
      <w:tabs>
        <w:tab w:val="center" w:pos="4153"/>
        <w:tab w:val="right" w:pos="8307"/>
      </w:tabs>
      <w:snapToGrid w:val="0"/>
      <w:jc w:val="left"/>
    </w:pPr>
    <w:rPr>
      <w:sz w:val="18"/>
    </w:rPr>
  </w:style>
  <w:style w:type="character" w:customStyle="1" w:styleId="Strong1b56aacd">
    <w:name w:val="Strong1b56aacd"/>
    <w:qFormat/>
    <w:rPr>
      <w:b/>
    </w:rPr>
  </w:style>
  <w:style w:type="paragraph" w:customStyle="1" w:styleId="annotationtext23">
    <w:name w:val="annotation text23"/>
    <w:next w:val="10"/>
    <w:qFormat/>
    <w:pPr>
      <w:widowControl w:val="0"/>
    </w:pPr>
    <w:rPr>
      <w:rFonts w:ascii="方正黑体_GBK" w:eastAsia="方正黑体_GBK" w:hAnsi="方正黑体_GBK"/>
      <w:kern w:val="2"/>
      <w:sz w:val="21"/>
      <w:szCs w:val="21"/>
    </w:rPr>
  </w:style>
  <w:style w:type="paragraph" w:customStyle="1" w:styleId="Normal4428ca59">
    <w:name w:val="Normal4428ca59"/>
    <w:next w:val="10"/>
    <w:qFormat/>
    <w:pPr>
      <w:widowControl w:val="0"/>
      <w:jc w:val="both"/>
    </w:pPr>
    <w:rPr>
      <w:rFonts w:ascii="方正黑体_GBK" w:eastAsia="方正黑体_GBK" w:hAnsi="方正黑体_GBK"/>
      <w:kern w:val="2"/>
      <w:sz w:val="18"/>
      <w:szCs w:val="18"/>
    </w:rPr>
  </w:style>
  <w:style w:type="paragraph" w:customStyle="1" w:styleId="heading17df43ffe">
    <w:name w:val="heading 17df43ffe"/>
    <w:basedOn w:val="Normal4428ca59"/>
    <w:next w:val="a"/>
    <w:qFormat/>
    <w:pPr>
      <w:keepNext/>
      <w:keepLines/>
      <w:spacing w:before="340" w:after="330" w:line="578" w:lineRule="auto"/>
      <w:outlineLvl w:val="0"/>
    </w:pPr>
    <w:rPr>
      <w:b/>
      <w:bCs/>
      <w:kern w:val="44"/>
      <w:sz w:val="44"/>
    </w:rPr>
  </w:style>
  <w:style w:type="paragraph" w:customStyle="1" w:styleId="heading2d19bdd49">
    <w:name w:val="heading 2d19bdd49"/>
    <w:basedOn w:val="Normal4428ca59"/>
    <w:next w:val="a"/>
    <w:qFormat/>
    <w:pPr>
      <w:keepNext/>
      <w:keepLines/>
      <w:spacing w:before="260" w:after="260" w:line="415" w:lineRule="auto"/>
      <w:outlineLvl w:val="1"/>
    </w:pPr>
    <w:rPr>
      <w:b/>
      <w:sz w:val="32"/>
    </w:rPr>
  </w:style>
  <w:style w:type="paragraph" w:customStyle="1" w:styleId="heading3d331b7c1">
    <w:name w:val="heading 3d331b7c1"/>
    <w:basedOn w:val="Normal4428ca59"/>
    <w:next w:val="a"/>
    <w:qFormat/>
    <w:pPr>
      <w:keepNext/>
      <w:keepLines/>
      <w:spacing w:before="260" w:after="260" w:line="415" w:lineRule="auto"/>
      <w:outlineLvl w:val="2"/>
    </w:pPr>
    <w:rPr>
      <w:b/>
      <w:sz w:val="32"/>
    </w:rPr>
  </w:style>
  <w:style w:type="character" w:customStyle="1" w:styleId="DefaultParagraphFontf2076d0d">
    <w:name w:val="Default Paragraph Fontf2076d0d"/>
    <w:qFormat/>
  </w:style>
  <w:style w:type="paragraph" w:customStyle="1" w:styleId="NormalIndentbc274e28">
    <w:name w:val="Normal Indentbc274e28"/>
    <w:basedOn w:val="Normal4428ca59"/>
    <w:qFormat/>
    <w:pPr>
      <w:ind w:firstLineChars="200" w:firstLine="200"/>
    </w:pPr>
  </w:style>
  <w:style w:type="paragraph" w:customStyle="1" w:styleId="toc5a626bfea">
    <w:name w:val="toc 5a626bfea"/>
    <w:basedOn w:val="Normal4428ca59"/>
    <w:next w:val="a"/>
    <w:qFormat/>
    <w:pPr>
      <w:ind w:left="1680"/>
    </w:pPr>
  </w:style>
  <w:style w:type="paragraph" w:customStyle="1" w:styleId="toc343327c52">
    <w:name w:val="toc 343327c52"/>
    <w:basedOn w:val="Normal4428ca59"/>
    <w:next w:val="a"/>
    <w:qFormat/>
    <w:pPr>
      <w:ind w:left="840"/>
    </w:pPr>
  </w:style>
  <w:style w:type="paragraph" w:customStyle="1" w:styleId="footer79cb72b7">
    <w:name w:val="footer79cb72b7"/>
    <w:basedOn w:val="Normal4428ca59"/>
    <w:qFormat/>
    <w:pPr>
      <w:tabs>
        <w:tab w:val="center" w:pos="4153"/>
        <w:tab w:val="right" w:pos="8307"/>
      </w:tabs>
      <w:snapToGrid w:val="0"/>
      <w:jc w:val="left"/>
    </w:pPr>
  </w:style>
  <w:style w:type="paragraph" w:customStyle="1" w:styleId="header056d2727">
    <w:name w:val="header056d2727"/>
    <w:basedOn w:val="Normal4428ca59"/>
    <w:qFormat/>
    <w:pPr>
      <w:pBdr>
        <w:bottom w:val="single" w:sz="6" w:space="1" w:color="auto"/>
      </w:pBdr>
      <w:tabs>
        <w:tab w:val="center" w:pos="4153"/>
        <w:tab w:val="right" w:pos="8307"/>
      </w:tabs>
      <w:snapToGrid w:val="0"/>
      <w:jc w:val="center"/>
    </w:pPr>
  </w:style>
  <w:style w:type="paragraph" w:customStyle="1" w:styleId="toc17fff9c7d">
    <w:name w:val="toc 17fff9c7d"/>
    <w:basedOn w:val="Normal4428ca59"/>
    <w:next w:val="a"/>
  </w:style>
  <w:style w:type="paragraph" w:customStyle="1" w:styleId="toc4c1a983f6">
    <w:name w:val="toc 4c1a983f6"/>
    <w:basedOn w:val="Normal4428ca59"/>
    <w:next w:val="a"/>
    <w:qFormat/>
    <w:pPr>
      <w:ind w:left="1260"/>
    </w:pPr>
  </w:style>
  <w:style w:type="paragraph" w:customStyle="1" w:styleId="toc24c398c4c">
    <w:name w:val="toc 24c398c4c"/>
    <w:basedOn w:val="Normal4428ca59"/>
    <w:next w:val="a"/>
    <w:qFormat/>
    <w:pPr>
      <w:ind w:left="420"/>
    </w:pPr>
  </w:style>
  <w:style w:type="paragraph" w:customStyle="1" w:styleId="NormalWeb7a633bfc">
    <w:name w:val="Normal (Web)7a633bfc"/>
    <w:next w:val="a4"/>
    <w:qFormat/>
    <w:pPr>
      <w:spacing w:before="102" w:after="102" w:line="1099" w:lineRule="atLeast"/>
      <w:ind w:firstLine="419"/>
      <w:textAlignment w:val="baseline"/>
    </w:pPr>
    <w:rPr>
      <w:rFonts w:ascii="方正黑体_GBK" w:eastAsia="方正黑体_GBK" w:hAnsi="方正黑体_GBK"/>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hAnsi="方正黑体_GBK"/>
      <w:kern w:val="2"/>
      <w:sz w:val="21"/>
      <w:szCs w:val="21"/>
    </w:rPr>
  </w:style>
  <w:style w:type="paragraph" w:customStyle="1" w:styleId="Normale7975616e7975616">
    <w:name w:val="Normale7975616e7975616"/>
    <w:next w:val="10"/>
    <w:qFormat/>
    <w:pPr>
      <w:widowControl w:val="0"/>
      <w:jc w:val="both"/>
    </w:pPr>
    <w:rPr>
      <w:rFonts w:ascii="方正黑体_GBK" w:eastAsia="方正黑体_GBK" w:hAnsi="方正黑体_GBK"/>
      <w:kern w:val="2"/>
      <w:sz w:val="21"/>
      <w:szCs w:val="21"/>
    </w:rPr>
  </w:style>
  <w:style w:type="paragraph" w:customStyle="1" w:styleId="heading121ad4ca521ad4ca5">
    <w:name w:val="heading 121ad4ca521ad4ca5"/>
    <w:basedOn w:val="Normale7975616e7975616"/>
    <w:next w:val="a"/>
    <w:qFormat/>
    <w:pPr>
      <w:keepNext/>
      <w:keepLines/>
      <w:spacing w:before="340" w:after="330" w:line="578" w:lineRule="auto"/>
      <w:outlineLvl w:val="0"/>
    </w:pPr>
    <w:rPr>
      <w:b/>
      <w:bCs/>
      <w:kern w:val="44"/>
      <w:sz w:val="44"/>
    </w:rPr>
  </w:style>
  <w:style w:type="paragraph" w:customStyle="1" w:styleId="heading28adf6d228adf6d22">
    <w:name w:val="heading 28adf6d228adf6d22"/>
    <w:basedOn w:val="Normale7975616e7975616"/>
    <w:next w:val="a"/>
    <w:qFormat/>
    <w:pPr>
      <w:keepNext/>
      <w:keepLines/>
      <w:spacing w:before="260" w:after="260" w:line="415" w:lineRule="auto"/>
      <w:outlineLvl w:val="1"/>
    </w:pPr>
    <w:rPr>
      <w:b/>
      <w:sz w:val="32"/>
    </w:rPr>
  </w:style>
  <w:style w:type="paragraph" w:customStyle="1" w:styleId="heading3dc46c7c9dc46c7c9">
    <w:name w:val="heading 3dc46c7c9dc46c7c9"/>
    <w:basedOn w:val="Normale7975616e7975616"/>
    <w:next w:val="a"/>
    <w:qFormat/>
    <w:pPr>
      <w:keepNext/>
      <w:keepLines/>
      <w:spacing w:before="260" w:after="260" w:line="415" w:lineRule="auto"/>
      <w:outlineLvl w:val="2"/>
    </w:pPr>
    <w:rPr>
      <w:b/>
      <w:sz w:val="32"/>
    </w:rPr>
  </w:style>
  <w:style w:type="character" w:customStyle="1" w:styleId="DefaultParagraphFont3ec2e7cf3ec2e7cf">
    <w:name w:val="Default Paragraph Font3ec2e7cf3ec2e7cf"/>
    <w:qFormat/>
  </w:style>
  <w:style w:type="paragraph" w:customStyle="1" w:styleId="170349e0f70349e0f">
    <w:name w:val="引文目录170349e0f70349e0f"/>
    <w:basedOn w:val="Normale7975616e7975616"/>
    <w:next w:val="a"/>
    <w:qFormat/>
    <w:pPr>
      <w:ind w:leftChars="200" w:left="200"/>
    </w:pPr>
  </w:style>
  <w:style w:type="paragraph" w:customStyle="1" w:styleId="toc5280ac864280ac864">
    <w:name w:val="toc 5280ac864280ac864"/>
    <w:basedOn w:val="Normale7975616e7975616"/>
    <w:next w:val="a"/>
    <w:qFormat/>
    <w:pPr>
      <w:ind w:left="1680"/>
    </w:pPr>
  </w:style>
  <w:style w:type="paragraph" w:customStyle="1" w:styleId="toc3820ad9cc820ad9cc">
    <w:name w:val="toc 3820ad9cc820ad9cc"/>
    <w:basedOn w:val="Normale7975616e7975616"/>
    <w:next w:val="a"/>
    <w:qFormat/>
    <w:pPr>
      <w:ind w:left="840"/>
    </w:pPr>
  </w:style>
  <w:style w:type="paragraph" w:customStyle="1" w:styleId="footere54e2698e54e2698">
    <w:name w:val="footere54e2698e54e2698"/>
    <w:basedOn w:val="Normale7975616e7975616"/>
    <w:qFormat/>
    <w:pPr>
      <w:tabs>
        <w:tab w:val="center" w:pos="4153"/>
        <w:tab w:val="right" w:pos="8307"/>
      </w:tabs>
      <w:snapToGrid w:val="0"/>
      <w:jc w:val="left"/>
    </w:pPr>
    <w:rPr>
      <w:sz w:val="18"/>
    </w:rPr>
  </w:style>
  <w:style w:type="paragraph" w:customStyle="1" w:styleId="header00db373400db3734">
    <w:name w:val="header00db373400db3734"/>
    <w:basedOn w:val="Normale7975616e7975616"/>
    <w:qFormat/>
    <w:pPr>
      <w:pBdr>
        <w:bottom w:val="single" w:sz="6" w:space="1" w:color="auto"/>
      </w:pBdr>
      <w:tabs>
        <w:tab w:val="center" w:pos="4153"/>
        <w:tab w:val="right" w:pos="8307"/>
      </w:tabs>
      <w:snapToGrid w:val="0"/>
      <w:jc w:val="center"/>
    </w:pPr>
    <w:rPr>
      <w:sz w:val="18"/>
    </w:rPr>
  </w:style>
  <w:style w:type="paragraph" w:customStyle="1" w:styleId="toc150178be950178be9">
    <w:name w:val="toc 150178be950178be9"/>
    <w:basedOn w:val="Normale7975616e7975616"/>
    <w:next w:val="a"/>
    <w:qFormat/>
  </w:style>
  <w:style w:type="paragraph" w:customStyle="1" w:styleId="toc465777b9565777b95">
    <w:name w:val="toc 465777b9565777b95"/>
    <w:basedOn w:val="Normale7975616e7975616"/>
    <w:next w:val="a"/>
    <w:qFormat/>
    <w:pPr>
      <w:ind w:left="1260"/>
    </w:pPr>
  </w:style>
  <w:style w:type="paragraph" w:customStyle="1" w:styleId="toc29b8f34c39b8f34c3">
    <w:name w:val="toc 29b8f34c39b8f34c3"/>
    <w:basedOn w:val="Normale7975616e7975616"/>
    <w:next w:val="a"/>
    <w:qFormat/>
    <w:pPr>
      <w:ind w:left="420"/>
    </w:pPr>
  </w:style>
  <w:style w:type="paragraph" w:customStyle="1" w:styleId="12428174424281744">
    <w:name w:val="列出段落12428174424281744"/>
    <w:qFormat/>
    <w:pPr>
      <w:widowControl w:val="0"/>
      <w:ind w:firstLineChars="200" w:firstLine="200"/>
      <w:jc w:val="both"/>
    </w:pPr>
    <w:rPr>
      <w:rFonts w:ascii="方正黑体_GBK" w:eastAsia="方正黑体_GBK" w:hAnsi="方正黑体_GBK"/>
      <w:kern w:val="2"/>
      <w:sz w:val="21"/>
      <w:szCs w:val="21"/>
    </w:rPr>
  </w:style>
  <w:style w:type="paragraph" w:styleId="ac">
    <w:name w:val="annotation text"/>
    <w:basedOn w:val="a"/>
    <w:link w:val="ab"/>
    <w:uiPriority w:val="99"/>
    <w:unhideWhenUsed/>
    <w:qFormat/>
    <w:pPr>
      <w:jc w:val="left"/>
    </w:pPr>
  </w:style>
  <w:style w:type="character" w:customStyle="1" w:styleId="ab">
    <w:name w:val="批注文字 字符"/>
    <w:basedOn w:val="a0"/>
    <w:link w:val="ac"/>
    <w:uiPriority w:val="99"/>
    <w:qFormat/>
  </w:style>
  <w:style w:type="paragraph" w:customStyle="1" w:styleId="12">
    <w:name w:val="列表段落1"/>
    <w:basedOn w:val="a"/>
    <w:uiPriority w:val="99"/>
    <w:unhideWhenUsed/>
    <w:qFormat/>
    <w:pPr>
      <w:ind w:firstLineChars="200" w:firstLine="420"/>
    </w:pPr>
  </w:style>
  <w:style w:type="character" w:customStyle="1" w:styleId="fontstyle01">
    <w:name w:val="fontstyle01"/>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3468</Words>
  <Characters>19771</Characters>
  <Application>Microsoft Office Word</Application>
  <DocSecurity>0</DocSecurity>
  <Lines>164</Lines>
  <Paragraphs>46</Paragraphs>
  <ScaleCrop>false</ScaleCrop>
  <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2025-03-03T07:04:00Z</dcterms:created>
  <dcterms:modified xsi:type="dcterms:W3CDTF">2025-03-03T07:04:00Z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1AA3DB1616D040F4857296961269C778</vt:lpwstr>
  </property>
</Properties>
</file>