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杭银理财幸福99丰裕固收23062期（稳利低波款）理财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杭银理财幸福99丰裕固收23062期（稳利低波款）理财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FYG23062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Z7002223000070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2023年3月30日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2025年5月29日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4.40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1,183,109,229.43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142.25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1,183,109,229.43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1,120,090,585.00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1.0563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1.0563</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丰裕固收23062期A款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FYG23062A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1.0559</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1.0559</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1,015,221,370.52</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丰裕固收23062期D款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FYG23062D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1.0584</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1.0584</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167,887,858.91</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丰裕固收23062期A款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4.28</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4.39</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4.60</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4.45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丰裕固收23062期D款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4.50</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4.54</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4.65</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以期限匹配策略为主，产品净值收益表现稳健。</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本产品以期限匹配策略为主，产品收益表现预计将持续稳健。</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0.08</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75.35</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75.35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24.58</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24.58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23宁波象港05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131,377,335.75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11.10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23扬州经开04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111,054,559.45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9.39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22金华金开PPN001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90,426,773.41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7.64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20成都开投PPN001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80,702,996.42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6.82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20成都兴锦PPN001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71,120,607.73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6.01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23河源润业02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70,519,900.55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22镜湖建投PPN001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70,099,006.22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22江宁交通PPN001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60,313,928.97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5.10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22空港城发PPN001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60,117,513.79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20舟海02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50,785,863.91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4.29</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488,235,531.81</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41.27</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四会市国有资产经营有限公司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23四会国资01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2025-05-21</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50,047,752.05</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每半年付息，到期一次还本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宁波象港开发控股集团有限公司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23宁波象港05</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2025-04-17</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131,377,335.75</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宿州市高新建设投资有限责任公司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23宿州高新01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2025-04-19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50,614,800.00</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每半年付息，到期一次还本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扬州经济技术开发区开发（集团）有限公司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23扬州经开04</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2025-03-19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111,054,559.45</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河源市润业投资有限公司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23河源润业02</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2025-05-12</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70,519,900.55</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每半年付息，到期一次还本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1,120,090,585.00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1,120,090,585.00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杭银理财幸福99丰裕固收23062期（稳利低波款）理财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3301040160015309811-5123062</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