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杭银理财幸福99丰裕固收23072期791天理财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杭银理财幸福99丰裕固收23072期791天理财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FYG23072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Z7002223000081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2023年4月20日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2025年6月19日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4.25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1,070,290,046.58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140.52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1,070,290,046.58</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1,016,974,024.00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1.0524</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1.0524</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丰裕固收23072期A款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FYG23072A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1.0521</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1.0521</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920,286,958.23</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丰裕固收23072期D款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FYG23072D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1.0545</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1.0545</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150,003,088.35</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丰裕固收23072期A款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4.18</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4.25</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4.27</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4.59</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4.35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丰裕固收23072期D款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4.28</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4.43</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4.46</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4.79</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4.55</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债券部分以信用债为主，受益于2季度信用债和利率债收益率下行，产品净值收益表现较好。</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策略上，信用债保持一定仓位，适时把握利率债、二级资本债的阶段性交易机会。</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0.08</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78.25</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78.25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19.34</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21.67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2.33</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23宣城高新01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100,436,426.03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9.38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23德清中创PPN001(项目收益)</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90,547,290.12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8.46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22六合经开PPN001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89,784,217.02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8.39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22空港兴城PPN001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80,019,589.89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7.48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23仪建02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70,527,540.51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6.59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23湖州经开07</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70,167,341.23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6.56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23淮安高新05</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70,134,046.16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6.55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22淮安城资PPN001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64,974,491.77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6.07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22溧水产投PPN004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63,310,360.66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5.92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20鑫华农业PPN001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61,200,853.57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5.72</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420,157,958.08</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39.26</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宁波南滨集团有限公司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光大信托·宁波南滨信托贷款-2（浙兴12号）</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2025-02-08</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35,028,814.06</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宣城高新投资发展有限公司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23宣城高新01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2025-05-30</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100,436,426.03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每半年付息，到期一次还本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淮安高新控股有限公司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23淮安高新05</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2025-06-04</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70,134,046.16</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湖州经开投资发展集团有限公司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23湖州经开07</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2025-06-11</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70,167,341.23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肇庆新区投资发展有限公司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23肇庆新区01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2025-06-04</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50,099,576.03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每半年付息，到期一次还本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1,016,974,024.00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1,016,974,024.00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杭银理财幸福99丰裕固收23072期理财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3301040160015309811-5123072</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