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杭银理财幸福99丰裕固收23033期（稳利低波款）理财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杭银理财幸福99丰裕固收23033期（稳利低波款）理财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FYG23033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Z7002223000037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2023年2月16日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2024年8月12日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4.50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1,393,482,205.83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116.02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1,393,482,205.83</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1,314,034,733.00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1.0605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1.0605</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丰裕固收23033期B款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FYG23033B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1.0624</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1.0624</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165,288,172.13</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丰裕固收23033期C款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FYG23033C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1.0597</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1.0597</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747,786,038.90</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丰裕固收23033期D款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FYG23033D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1.0610</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1.0610</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480,407,994.80</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丰裕固收23033期B款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4.14</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4.28</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4.31</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4.46</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4.56</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丰裕固收23033期C款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4.03</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4.10</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4.14</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4.27</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4.36</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丰裕固收23033期D款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4.03</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4.21</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4.21</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4.37</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4.45</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债券部分以信用债为主，受益于2季度信用债和利率债收益率下行，产品净值收益表现较好。</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策略上，信用债保持一定仓位，适时把握利率债的阶段性交易机会。</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0.17</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0.41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0.31</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9.61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62.75</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77.18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3.22</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3.18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9.92</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9.62</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23.63</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工银瑞信尊益中短债债券型证券投资基金</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130,292,337.92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9.35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21金牛城投PPN002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82,679,934.51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5.93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24宜兴经开MTN001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81,383,452.05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5.84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21宜兴01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78,334,157.28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5.62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21南太湖PPN001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62,795,522.60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4.51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21江宁交通PPN002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62,195,727.68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4.46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21金坛国发PPN002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57,778,238.20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21通投01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52,255,533.74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3.75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23海宁尖山新区04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52,010,340.71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3.73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21迪投02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52,004,891.79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3.73</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209,058,290.36</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15.00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海宁市尖山新区开发有限公司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23海宁尖山新区04</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2024-08-09</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52,010,340.71</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利随本清，到期一次还本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缙云县国有资产投资经营有限公司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厦门信托-浙兴杭厦5号集合资金信托计划（缙云国投信托贷款）</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2024-07-29</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1,001,246.92</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1,314,034,733.00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1,314,034,733.00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杭银理财幸福99丰裕固收23033期理财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3301040160015309811-5123033</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