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杭银理财幸福99丰裕固收23034期（稳利低波款）理财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杭银理财幸福99丰裕固收23034期（稳利低波款）理财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FYG23034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Z7002223000038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2023年2月16日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2025年3月6日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4.60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1,401,362,750.75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152.54</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1,401,362,750.75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1,315,139,733.00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1.0656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1.0656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丰裕固收23034期A款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FYG23034A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1.0651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1.0651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1,169,354,367.39</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丰裕固收23034期D款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FYG23034D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1.0679</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1.0679</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232,008,383.36</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丰裕固收23034期A款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4.54</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4.57</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4.75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丰裕固收23034期D款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4.69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4.73</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4.76</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4.87</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4.96</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以期限匹配策略为主，产品净值收益表现稳健。</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本产品以期限匹配策略为主，产品收益表现预计将持续稳健。</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85.72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85.72</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14.25</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14.25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203,256,202.74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14.50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22袍江工业MTN001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131,863,585.97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23郑新建投MTN001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101,409,188.77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23富阳城投03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101,281,084.93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7.23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21淮安投资MTN002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91,678,769.66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6.54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22溧水经开PPN002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90,684,333.91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6.47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22宜兴经开PPN002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83,703,868.85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22嘉善经开MTN001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81,150,275.77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22雨花城投MTN001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81,044,502.87</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5.78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22常山02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71,236,315.92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5.08</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713,360,701.35</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50.90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杭州富阳城市建设投资集团有限公司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23富阳城投03</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2025-03-05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101,281,084.93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江东控股集团有限责任公司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23江东控股01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2024-12-25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203,256,202.74</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其他（理财直融工具）</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每年付息，到期一次还本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1,315,139,733.00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1,315,139,733.00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杭银理财幸福99丰裕固收23034期理财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3301040160015309811-5123034</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