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14030B">
      <w:pPr>
        <w:jc w:val="center"/>
        <w:rPr>
          <w:rFonts w:ascii="宋体" w:eastAsia="宋体" w:hAnsi="宋体"/>
          <w:b/>
          <w:sz w:val="32"/>
          <w:szCs w:val="20"/>
        </w:rPr>
      </w:pPr>
    </w:p>
    <w:p w:rsidR="0014030B">
      <w:pPr>
        <w:adjustRightInd w:val="0"/>
        <w:snapToGrid w:val="0"/>
        <w:spacing w:line="460" w:lineRule="exact"/>
        <w:jc w:val="center"/>
        <w:rPr>
          <w:rFonts w:ascii="Times New Roman" w:eastAsia="方正楷体简体" w:hAnsi="Times New Roman"/>
          <w:sz w:val="24"/>
        </w:rPr>
      </w:pPr>
    </w:p>
    <w:p w:rsidR="0014030B"/>
    <w:p w:rsidR="0014030B">
      <w:pPr>
        <w:autoSpaceDE w:val="0"/>
        <w:autoSpaceDN w:val="0"/>
        <w:spacing w:before="220"/>
        <w:jc w:val="center"/>
        <w:rPr>
          <w:rFonts w:ascii="仿宋_GB2312" w:eastAsia="仿宋_GB2312" w:hAnsi="仿宋_GB2312" w:cs="仿宋_GB2312"/>
          <w:b/>
          <w:kern w:val="0"/>
          <w:sz w:val="52"/>
          <w:szCs w:val="52"/>
          <w:lang w:bidi="zh-CN"/>
        </w:rPr>
      </w:pPr>
      <w:r>
        <w:rPr>
          <w:rFonts w:ascii="仿宋_GB2312" w:eastAsia="仿宋_GB2312" w:hAnsi="仿宋_GB2312" w:cs="仿宋_GB2312" w:hint="eastAsia"/>
          <w:b/>
          <w:kern w:val="0"/>
          <w:sz w:val="52"/>
          <w:szCs w:val="52"/>
          <w:lang w:bidi="zh-CN"/>
        </w:rPr>
        <w:t>杭银理财幸福99丰裕固收22078期（稳利低波款）理财</w:t>
      </w:r>
    </w:p>
    <w:p w:rsidR="0014030B">
      <w:pPr>
        <w:autoSpaceDE w:val="0"/>
        <w:autoSpaceDN w:val="0"/>
        <w:spacing w:line="360" w:lineRule="auto"/>
        <w:jc w:val="center"/>
        <w:rPr>
          <w:rFonts w:ascii="仿宋_GB2312" w:eastAsia="仿宋_GB2312" w:hAnsi="仿宋_GB2312" w:cs="仿宋_GB2312"/>
          <w:b/>
          <w:bCs/>
          <w:kern w:val="0"/>
          <w:sz w:val="44"/>
          <w:szCs w:val="44"/>
          <w:lang w:bidi="zh-CN"/>
        </w:rPr>
      </w:pPr>
      <w:r>
        <w:rPr>
          <w:rFonts w:ascii="仿宋_GB2312" w:eastAsia="仿宋_GB2312" w:hAnsi="仿宋_GB2312" w:cs="仿宋_GB2312" w:hint="eastAsia"/>
          <w:b/>
          <w:bCs/>
          <w:kern w:val="0"/>
          <w:sz w:val="44"/>
          <w:szCs w:val="44"/>
          <w:lang w:bidi="zh-CN"/>
        </w:rPr>
        <w:t>2024</w:t>
      </w:r>
      <w:r>
        <w:rPr>
          <w:rFonts w:ascii="仿宋_GB2312" w:eastAsia="仿宋_GB2312" w:hAnsi="仿宋_GB2312" w:cs="仿宋_GB2312" w:hint="eastAsia"/>
          <w:b/>
          <w:bCs/>
          <w:kern w:val="0"/>
          <w:sz w:val="44"/>
          <w:szCs w:val="44"/>
          <w:lang w:bidi="zh-CN"/>
        </w:rPr>
        <w:t>年</w:t>
      </w:r>
      <w:r>
        <w:rPr>
          <w:rFonts w:ascii="仿宋_GB2312" w:eastAsia="仿宋_GB2312" w:hAnsi="仿宋_GB2312" w:cs="仿宋_GB2312" w:hint="eastAsia"/>
          <w:b/>
          <w:bCs/>
          <w:kern w:val="0"/>
          <w:sz w:val="44"/>
          <w:szCs w:val="44"/>
          <w:lang w:bidi="zh-CN"/>
        </w:rPr>
        <w:t>第</w:t>
      </w:r>
      <w:r>
        <w:rPr>
          <w:rFonts w:ascii="仿宋_GB2312" w:eastAsia="仿宋_GB2312" w:hAnsi="仿宋_GB2312" w:cs="仿宋_GB2312" w:hint="eastAsia"/>
          <w:b/>
          <w:bCs/>
          <w:kern w:val="0"/>
          <w:sz w:val="44"/>
          <w:szCs w:val="44"/>
          <w:lang w:bidi="zh-CN"/>
        </w:rPr>
        <w:t>2</w:t>
      </w:r>
      <w:r>
        <w:rPr>
          <w:rFonts w:ascii="仿宋_GB2312" w:eastAsia="仿宋_GB2312" w:hAnsi="仿宋_GB2312" w:cs="仿宋_GB2312" w:hint="eastAsia"/>
          <w:b/>
          <w:bCs/>
          <w:kern w:val="0"/>
          <w:sz w:val="44"/>
          <w:szCs w:val="44"/>
          <w:lang w:bidi="zh-CN"/>
        </w:rPr>
        <w:t>季度报告</w:t>
      </w:r>
    </w:p>
    <w:p w:rsidR="0014030B">
      <w:pPr>
        <w:jc w:val="center"/>
        <w:rPr>
          <w:rFonts w:ascii="宋体" w:eastAsia="宋体" w:hAnsi="宋体"/>
          <w:color w:val="0000FF"/>
          <w:kern w:val="0"/>
          <w:sz w:val="18"/>
          <w:szCs w:val="20"/>
        </w:rPr>
      </w:pPr>
    </w:p>
    <w:p w:rsidR="0014030B">
      <w:pPr>
        <w:jc w:val="center"/>
        <w:rPr>
          <w:rFonts w:eastAsia="宋体"/>
          <w:sz w:val="24"/>
        </w:rPr>
      </w:pPr>
    </w:p>
    <w:p w:rsidR="0014030B">
      <w:pPr>
        <w:jc w:val="center"/>
        <w:rPr>
          <w:rFonts w:eastAsia="宋体"/>
          <w:sz w:val="24"/>
        </w:rPr>
      </w:pPr>
    </w:p>
    <w:p w:rsidR="0014030B">
      <w:pPr>
        <w:jc w:val="center"/>
        <w:rPr>
          <w:rFonts w:ascii="仿宋" w:eastAsia="仿宋" w:hAnsi="仿宋" w:cs="仿宋"/>
          <w:sz w:val="24"/>
        </w:rPr>
      </w:pPr>
    </w:p>
    <w:p w:rsidR="0014030B">
      <w:pPr>
        <w:jc w:val="center"/>
        <w:rPr>
          <w:rFonts w:ascii="仿宋" w:eastAsia="仿宋" w:hAnsi="仿宋" w:cs="仿宋"/>
          <w:sz w:val="24"/>
        </w:rPr>
      </w:pPr>
    </w:p>
    <w:p w:rsidR="0014030B">
      <w:pPr>
        <w:jc w:val="center"/>
        <w:rPr>
          <w:rFonts w:ascii="仿宋" w:eastAsia="仿宋" w:hAnsi="仿宋" w:cs="仿宋"/>
          <w:sz w:val="24"/>
        </w:rPr>
      </w:pPr>
    </w:p>
    <w:p w:rsidR="0014030B">
      <w:pPr>
        <w:jc w:val="center"/>
        <w:rPr>
          <w:rFonts w:ascii="仿宋" w:eastAsia="仿宋" w:hAnsi="仿宋" w:cs="仿宋"/>
          <w:sz w:val="24"/>
        </w:rPr>
      </w:pPr>
      <w:r>
        <w:rPr>
          <w:rFonts w:ascii="仿宋" w:eastAsia="仿宋" w:hAnsi="仿宋" w:cs="仿宋" w:hint="eastAsia"/>
          <w:sz w:val="24"/>
        </w:rPr>
        <w:t>产品管理人：</w:t>
      </w:r>
      <w:r>
        <w:rPr>
          <w:rFonts w:ascii="仿宋" w:eastAsia="仿宋" w:hAnsi="仿宋" w:cs="仿宋" w:hint="eastAsia"/>
          <w:sz w:val="24"/>
        </w:rPr>
        <w:t>杭银理财有限责任公司</w:t>
      </w:r>
    </w:p>
    <w:p w:rsidR="0014030B">
      <w:pPr>
        <w:jc w:val="center"/>
        <w:rPr>
          <w:rFonts w:ascii="仿宋" w:eastAsia="仿宋" w:hAnsi="仿宋" w:cs="仿宋"/>
          <w:sz w:val="24"/>
        </w:rPr>
      </w:pPr>
      <w:r>
        <w:rPr>
          <w:rFonts w:ascii="仿宋" w:eastAsia="仿宋" w:hAnsi="仿宋" w:cs="仿宋" w:hint="eastAsia"/>
          <w:sz w:val="24"/>
        </w:rPr>
        <w:t>产品托管人：</w:t>
      </w:r>
      <w:r>
        <w:rPr>
          <w:rFonts w:ascii="仿宋" w:eastAsia="仿宋" w:hAnsi="仿宋" w:cs="仿宋" w:hint="eastAsia"/>
          <w:sz w:val="24"/>
        </w:rPr>
        <w:t>杭州银行股份有限公司</w:t>
      </w:r>
    </w:p>
    <w:p w:rsidR="0014030B">
      <w:pPr>
        <w:jc w:val="center"/>
        <w:rPr>
          <w:rFonts w:ascii="仿宋" w:eastAsia="仿宋" w:hAnsi="仿宋" w:cs="仿宋"/>
          <w:sz w:val="24"/>
        </w:rPr>
      </w:pPr>
    </w:p>
    <w:p w:rsidR="0014030B">
      <w:pPr>
        <w:jc w:val="center"/>
        <w:rPr>
          <w:rFonts w:ascii="仿宋" w:eastAsia="仿宋" w:hAnsi="仿宋" w:cs="仿宋"/>
          <w:sz w:val="24"/>
        </w:rPr>
      </w:pPr>
    </w:p>
    <w:p w:rsidR="0014030B">
      <w:pPr>
        <w:jc w:val="center"/>
        <w:rPr>
          <w:rFonts w:ascii="仿宋" w:eastAsia="仿宋" w:hAnsi="仿宋" w:cs="仿宋"/>
          <w:sz w:val="24"/>
        </w:rPr>
      </w:pPr>
    </w:p>
    <w:p w:rsidR="0014030B">
      <w:pPr>
        <w:jc w:val="center"/>
        <w:rPr>
          <w:rFonts w:ascii="仿宋" w:eastAsia="仿宋" w:hAnsi="仿宋" w:cs="仿宋"/>
          <w:sz w:val="24"/>
        </w:rPr>
      </w:pPr>
      <w:r>
        <w:rPr>
          <w:rFonts w:ascii="仿宋" w:eastAsia="仿宋" w:hAnsi="仿宋" w:cs="仿宋" w:hint="eastAsia"/>
          <w:sz w:val="24"/>
        </w:rPr>
        <w:t>2024年7月12日</w:t>
      </w:r>
    </w:p>
    <w:p w:rsidR="0014030B">
      <w:pPr>
        <w:rPr>
          <w:rFonts w:ascii="宋体" w:eastAsia="宋体" w:hAnsi="宋体"/>
        </w:rPr>
      </w:pPr>
    </w:p>
    <w:p w:rsidR="0014030B">
      <w:pPr>
        <w:jc w:val="center"/>
        <w:rPr>
          <w:rFonts w:ascii="宋体" w:eastAsia="宋体" w:hAnsi="宋体"/>
        </w:rPr>
      </w:pPr>
    </w:p>
    <w:p w:rsidR="0014030B">
      <w:pPr>
        <w:pStyle w:val="Heading2"/>
        <w:adjustRightInd w:val="0"/>
        <w:snapToGrid w:val="0"/>
        <w:spacing w:line="560" w:lineRule="exact"/>
        <w:jc w:val="center"/>
        <w:rPr>
          <w:rFonts w:ascii="仿宋" w:eastAsia="仿宋" w:hAnsi="仿宋" w:cs="仿宋"/>
          <w:sz w:val="24"/>
        </w:rPr>
      </w:pPr>
      <w:bookmarkStart w:id="0" w:name="_Toc379618105"/>
      <w:r>
        <w:rPr>
          <w:rFonts w:ascii="仿宋" w:eastAsia="仿宋" w:hAnsi="仿宋" w:cs="仿宋" w:hint="eastAsia"/>
          <w:sz w:val="24"/>
        </w:rPr>
        <w:t>§</w:t>
      </w:r>
      <w:r>
        <w:rPr>
          <w:rFonts w:ascii="仿宋" w:eastAsia="仿宋" w:hAnsi="仿宋" w:cs="仿宋" w:hint="eastAsia"/>
          <w:sz w:val="24"/>
        </w:rPr>
        <w:t xml:space="preserve">1  </w:t>
      </w:r>
      <w:r>
        <w:rPr>
          <w:rFonts w:ascii="仿宋" w:eastAsia="仿宋" w:hAnsi="仿宋" w:cs="仿宋" w:hint="eastAsia"/>
          <w:sz w:val="24"/>
        </w:rPr>
        <w:t>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产品管理人承诺以诚实信用、勤勉尽责的原则管理和运用产品资产，并如实反映产品财务指标及投资组合情况，但不保证产品一定盈利。</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产品托管人根据本</w:t>
            </w:r>
            <w:r>
              <w:rPr>
                <w:rFonts w:ascii="仿宋" w:eastAsia="仿宋" w:hAnsi="仿宋" w:cs="仿宋" w:hint="eastAsia"/>
                <w:color w:val="000000"/>
                <w:sz w:val="24"/>
              </w:rPr>
              <w:t>产品</w:t>
            </w:r>
            <w:r>
              <w:rPr>
                <w:rFonts w:ascii="仿宋" w:eastAsia="仿宋" w:hAnsi="仿宋" w:cs="仿宋" w:hint="eastAsia"/>
                <w:color w:val="404040"/>
                <w:kern w:val="0"/>
                <w:sz w:val="24"/>
              </w:rPr>
              <w:t>合同规定，于</w:t>
            </w:r>
            <w:r>
              <w:rPr>
                <w:rFonts w:ascii="仿宋" w:eastAsia="仿宋" w:hAnsi="仿宋" w:cs="仿宋" w:hint="eastAsia"/>
                <w:color w:val="404040"/>
                <w:kern w:val="0"/>
                <w:sz w:val="24"/>
              </w:rPr>
              <w:t>2024年6月30日</w:t>
            </w:r>
            <w:r>
              <w:rPr>
                <w:rFonts w:ascii="仿宋" w:eastAsia="仿宋" w:hAnsi="仿宋" w:cs="仿宋" w:hint="eastAsia"/>
                <w:color w:val="404040"/>
                <w:kern w:val="0"/>
                <w:sz w:val="24"/>
              </w:rPr>
              <w:t>复核了本报告中的财务指标、净值表现和投资组合报告等内容，保证复核内容不存在虚假记载、误导性陈述或者重大遗漏。</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产品的过往业绩并不代表其未来表现。投资有风险，投资者在</w:t>
            </w:r>
            <w:r>
              <w:rPr>
                <w:rFonts w:ascii="仿宋" w:eastAsia="仿宋" w:hAnsi="仿宋" w:cs="仿宋" w:hint="eastAsia"/>
                <w:color w:val="404040"/>
                <w:kern w:val="0"/>
                <w:sz w:val="24"/>
              </w:rPr>
              <w:t>作出</w:t>
            </w:r>
            <w:r>
              <w:rPr>
                <w:rFonts w:ascii="仿宋" w:eastAsia="仿宋" w:hAnsi="仿宋" w:cs="仿宋" w:hint="eastAsia"/>
                <w:color w:val="404040"/>
                <w:kern w:val="0"/>
                <w:sz w:val="24"/>
              </w:rPr>
              <w:t>投资决策前应仔细阅读本</w:t>
            </w:r>
            <w:r>
              <w:rPr>
                <w:rFonts w:ascii="仿宋" w:eastAsia="仿宋" w:hAnsi="仿宋" w:cs="仿宋" w:hint="eastAsia"/>
                <w:color w:val="000000"/>
                <w:sz w:val="24"/>
              </w:rPr>
              <w:t>产品</w:t>
            </w:r>
            <w:r>
              <w:rPr>
                <w:rFonts w:ascii="仿宋" w:eastAsia="仿宋" w:hAnsi="仿宋" w:cs="仿宋" w:hint="eastAsia"/>
                <w:color w:val="404040"/>
                <w:kern w:val="0"/>
                <w:sz w:val="24"/>
              </w:rPr>
              <w:t>的产品说明书。</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本报告中财务资料未经审计。</w:t>
            </w:r>
          </w:p>
          <w:p w:rsidR="0014030B">
            <w:pPr>
              <w:widowControl/>
              <w:adjustRightInd w:val="0"/>
              <w:snapToGrid w:val="0"/>
              <w:spacing w:line="420" w:lineRule="exact"/>
              <w:ind w:firstLine="480" w:firstLineChars="200"/>
              <w:jc w:val="left"/>
              <w:rPr>
                <w:rFonts w:ascii="仿宋" w:eastAsia="仿宋" w:hAnsi="仿宋" w:cs="仿宋"/>
                <w:sz w:val="24"/>
              </w:rPr>
            </w:pPr>
            <w:r>
              <w:rPr>
                <w:rFonts w:ascii="仿宋" w:eastAsia="仿宋" w:hAnsi="仿宋" w:cs="仿宋" w:hint="eastAsia"/>
                <w:color w:val="404040"/>
                <w:kern w:val="0"/>
                <w:sz w:val="24"/>
              </w:rPr>
              <w:t>本报告期自</w:t>
            </w:r>
            <w:r>
              <w:rPr>
                <w:rFonts w:ascii="仿宋" w:eastAsia="仿宋" w:hAnsi="仿宋" w:cs="仿宋" w:hint="eastAsia"/>
                <w:color w:val="404040"/>
                <w:kern w:val="0"/>
                <w:sz w:val="24"/>
              </w:rPr>
              <w:t>2024年4月1日</w:t>
            </w:r>
            <w:r>
              <w:rPr>
                <w:rFonts w:ascii="仿宋" w:eastAsia="仿宋" w:hAnsi="仿宋" w:cs="仿宋" w:hint="eastAsia"/>
                <w:color w:val="404040"/>
                <w:kern w:val="0"/>
                <w:sz w:val="24"/>
              </w:rPr>
              <w:t>起至</w:t>
            </w:r>
            <w:r>
              <w:rPr>
                <w:rFonts w:ascii="仿宋" w:eastAsia="仿宋" w:hAnsi="仿宋" w:cs="仿宋" w:hint="eastAsia"/>
                <w:color w:val="404040"/>
                <w:kern w:val="0"/>
                <w:sz w:val="24"/>
              </w:rPr>
              <w:t>2024年6月30日</w:t>
            </w:r>
            <w:r>
              <w:rPr>
                <w:rFonts w:ascii="仿宋" w:eastAsia="仿宋" w:hAnsi="仿宋" w:cs="仿宋" w:hint="eastAsia"/>
                <w:color w:val="404040"/>
                <w:kern w:val="0"/>
                <w:sz w:val="24"/>
              </w:rPr>
              <w:t>止。</w:t>
            </w:r>
          </w:p>
        </w:tc>
      </w:tr>
    </w:tbl>
    <w:p w:rsidR="0014030B">
      <w:pPr>
        <w:rPr>
          <w:rStyle w:val="a1"/>
          <w:rFonts w:ascii="仿宋" w:eastAsia="仿宋" w:hAnsi="仿宋" w:cs="仿宋"/>
          <w:color w:val="0000FF"/>
          <w:sz w:val="24"/>
        </w:rPr>
      </w:pPr>
    </w:p>
    <w:p w:rsidR="0014030B">
      <w:pPr>
        <w:pStyle w:val="Heading2"/>
        <w:adjustRightInd w:val="0"/>
        <w:snapToGrid w:val="0"/>
        <w:spacing w:line="560" w:lineRule="exact"/>
        <w:jc w:val="center"/>
        <w:rPr>
          <w:rFonts w:ascii="仿宋" w:eastAsia="仿宋" w:hAnsi="仿宋" w:cs="仿宋"/>
          <w:sz w:val="24"/>
        </w:rPr>
      </w:pPr>
      <w:bookmarkStart w:id="1" w:name="_Toc67575498"/>
      <w:r>
        <w:rPr>
          <w:rFonts w:ascii="仿宋" w:eastAsia="仿宋" w:hAnsi="仿宋" w:cs="仿宋" w:hint="eastAsia"/>
          <w:sz w:val="24"/>
        </w:rPr>
        <w:t>§</w:t>
      </w:r>
      <w:r>
        <w:rPr>
          <w:rFonts w:ascii="仿宋" w:eastAsia="仿宋" w:hAnsi="仿宋" w:cs="仿宋" w:hint="eastAsia"/>
          <w:sz w:val="24"/>
        </w:rPr>
        <w:t xml:space="preserve">2  </w:t>
      </w:r>
      <w:r>
        <w:rPr>
          <w:rFonts w:ascii="仿宋" w:eastAsia="仿宋" w:hAnsi="仿宋" w:cs="仿宋" w:hint="eastAsia"/>
          <w:sz w:val="24"/>
        </w:rPr>
        <w:t>产品概况</w:t>
      </w:r>
      <w:bookmarkEnd w:id="1"/>
    </w:p>
    <w:p w:rsidR="0014030B">
      <w:pPr>
        <w:adjustRightInd w:val="0"/>
        <w:snapToGrid w:val="0"/>
        <w:spacing w:line="440" w:lineRule="exact"/>
        <w:outlineLvl w:val="2"/>
        <w:rPr>
          <w:rFonts w:ascii="仿宋" w:eastAsia="仿宋" w:hAnsi="仿宋" w:cs="仿宋"/>
          <w:b/>
          <w:sz w:val="24"/>
        </w:rPr>
      </w:pPr>
      <w:bookmarkStart w:id="2" w:name="_Toc1870029270"/>
      <w:bookmarkStart w:id="3" w:name="_Toc354129567"/>
      <w:r>
        <w:rPr>
          <w:rFonts w:ascii="仿宋" w:eastAsia="仿宋" w:hAnsi="仿宋" w:cs="仿宋" w:hint="eastAsia"/>
          <w:b/>
          <w:sz w:val="24"/>
        </w:rPr>
        <w:t xml:space="preserve">2.1 </w:t>
      </w:r>
      <w:r>
        <w:rPr>
          <w:rFonts w:ascii="仿宋" w:eastAsia="仿宋" w:hAnsi="仿宋" w:cs="仿宋" w:hint="eastAsia"/>
          <w:b/>
          <w:sz w:val="24"/>
        </w:rPr>
        <w:t>产品基本情况</w:t>
      </w:r>
      <w:bookmarkEnd w:id="2"/>
      <w:bookmarkEnd w:id="3"/>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杭银理财幸福99丰裕固收22078期（稳利低波款）理财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FYG22078</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Z7002222000122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2023年1月5日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2025年1月16日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业绩比较基准（</w:t>
            </w:r>
            <w:r>
              <w:rPr>
                <w:rFonts w:ascii="仿宋" w:eastAsia="仿宋" w:hAnsi="仿宋" w:cs="仿宋" w:hint="eastAsia"/>
                <w:kern w:val="0"/>
                <w:sz w:val="24"/>
              </w:rPr>
              <w:t>%</w:t>
            </w:r>
            <w:r>
              <w:rPr>
                <w:rFonts w:ascii="仿宋" w:eastAsia="仿宋" w:hAnsi="仿宋"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4.60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报告期末产品规模（元）</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304,677,623.23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杠杆水平（</w:t>
            </w:r>
            <w:r>
              <w:rPr>
                <w:rFonts w:ascii="仿宋" w:eastAsia="仿宋" w:hAnsi="仿宋" w:cs="仿宋" w:hint="eastAsia"/>
                <w:kern w:val="0"/>
                <w:sz w:val="24"/>
              </w:rPr>
              <w:t>%</w:t>
            </w:r>
            <w:r>
              <w:rPr>
                <w:rFonts w:ascii="仿宋" w:eastAsia="仿宋" w:hAnsi="仿宋"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127.35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杭州银行股份有限公司</w:t>
            </w:r>
          </w:p>
        </w:tc>
      </w:tr>
    </w:tbl>
    <w:p w:rsidR="0014030B">
      <w:pPr>
        <w:adjustRightInd w:val="0"/>
        <w:snapToGrid w:val="0"/>
        <w:spacing w:line="36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杠杆水平</w:t>
      </w:r>
      <w:r>
        <w:rPr>
          <w:rFonts w:ascii="仿宋" w:eastAsia="仿宋" w:hAnsi="仿宋" w:cs="仿宋" w:hint="eastAsia"/>
          <w:sz w:val="24"/>
        </w:rPr>
        <w:t>=</w:t>
      </w:r>
      <w:r>
        <w:rPr>
          <w:rFonts w:ascii="仿宋" w:eastAsia="仿宋" w:hAnsi="仿宋" w:cs="仿宋" w:hint="eastAsia"/>
          <w:sz w:val="24"/>
        </w:rPr>
        <w:t>总资产</w:t>
      </w:r>
      <w:r>
        <w:rPr>
          <w:rFonts w:ascii="仿宋" w:eastAsia="仿宋" w:hAnsi="仿宋" w:cs="仿宋" w:hint="eastAsia"/>
          <w:sz w:val="24"/>
        </w:rPr>
        <w:t>/</w:t>
      </w:r>
      <w:r>
        <w:rPr>
          <w:rFonts w:ascii="仿宋" w:eastAsia="仿宋" w:hAnsi="仿宋" w:cs="仿宋" w:hint="eastAsia"/>
          <w:sz w:val="24"/>
        </w:rPr>
        <w:t>理财产品净资产，理财产品净资产</w:t>
      </w:r>
      <w:r>
        <w:rPr>
          <w:rFonts w:ascii="仿宋" w:eastAsia="仿宋" w:hAnsi="仿宋" w:cs="仿宋" w:hint="eastAsia"/>
          <w:sz w:val="24"/>
        </w:rPr>
        <w:t>=</w:t>
      </w:r>
      <w:r>
        <w:rPr>
          <w:rFonts w:ascii="仿宋" w:eastAsia="仿宋" w:hAnsi="仿宋" w:cs="仿宋" w:hint="eastAsia"/>
          <w:sz w:val="24"/>
        </w:rPr>
        <w:t>总资产</w:t>
      </w:r>
      <w:r>
        <w:rPr>
          <w:rFonts w:ascii="仿宋" w:eastAsia="仿宋" w:hAnsi="仿宋" w:cs="仿宋" w:hint="eastAsia"/>
          <w:sz w:val="24"/>
        </w:rPr>
        <w:t>-</w:t>
      </w:r>
      <w:r>
        <w:rPr>
          <w:rFonts w:ascii="仿宋" w:eastAsia="仿宋" w:hAnsi="仿宋" w:cs="仿宋" w:hint="eastAsia"/>
          <w:sz w:val="24"/>
        </w:rPr>
        <w:t>总负债</w:t>
      </w:r>
    </w:p>
    <w:p w:rsidR="0014030B">
      <w:pPr>
        <w:adjustRightInd w:val="0"/>
        <w:snapToGrid w:val="0"/>
        <w:spacing w:line="360" w:lineRule="exact"/>
        <w:rPr>
          <w:rFonts w:ascii="仿宋" w:eastAsia="仿宋" w:hAnsi="仿宋" w:cs="仿宋"/>
          <w:color w:val="000000"/>
          <w:sz w:val="24"/>
        </w:rPr>
      </w:pPr>
    </w:p>
    <w:p w:rsidR="0014030B">
      <w:pPr>
        <w:pStyle w:val="Heading2"/>
        <w:adjustRightInd w:val="0"/>
        <w:snapToGrid w:val="0"/>
        <w:spacing w:line="560" w:lineRule="exact"/>
        <w:jc w:val="center"/>
        <w:rPr>
          <w:rFonts w:ascii="仿宋" w:eastAsia="仿宋" w:hAnsi="仿宋" w:cs="仿宋"/>
          <w:sz w:val="24"/>
        </w:rPr>
      </w:pPr>
      <w:bookmarkStart w:id="4" w:name="_Toc1158767045"/>
      <w:r>
        <w:rPr>
          <w:rFonts w:ascii="仿宋" w:eastAsia="仿宋" w:hAnsi="仿宋" w:cs="仿宋" w:hint="eastAsia"/>
          <w:sz w:val="24"/>
        </w:rPr>
        <w:t>§</w:t>
      </w:r>
      <w:r>
        <w:rPr>
          <w:rFonts w:ascii="仿宋" w:eastAsia="仿宋" w:hAnsi="仿宋" w:cs="仿宋" w:hint="eastAsia"/>
          <w:sz w:val="24"/>
        </w:rPr>
        <w:t xml:space="preserve">3  </w:t>
      </w:r>
      <w:r>
        <w:rPr>
          <w:rFonts w:ascii="仿宋" w:eastAsia="仿宋" w:hAnsi="仿宋" w:cs="仿宋" w:hint="eastAsia"/>
          <w:sz w:val="24"/>
        </w:rPr>
        <w:t>主要财务指标和产品净值表现</w:t>
      </w:r>
      <w:bookmarkEnd w:id="4"/>
    </w:p>
    <w:p w:rsidR="0014030B">
      <w:pPr>
        <w:adjustRightInd w:val="0"/>
        <w:snapToGrid w:val="0"/>
        <w:spacing w:line="440" w:lineRule="exact"/>
        <w:outlineLvl w:val="2"/>
        <w:rPr>
          <w:rFonts w:ascii="仿宋" w:eastAsia="仿宋" w:hAnsi="仿宋" w:cs="仿宋"/>
          <w:b/>
          <w:sz w:val="24"/>
        </w:rPr>
      </w:pPr>
      <w:bookmarkStart w:id="5" w:name="_Toc2016014319"/>
      <w:r>
        <w:rPr>
          <w:rFonts w:ascii="仿宋" w:eastAsia="仿宋" w:hAnsi="仿宋" w:cs="仿宋" w:hint="eastAsia"/>
          <w:b/>
          <w:sz w:val="24"/>
        </w:rPr>
        <w:t xml:space="preserve">3.1 </w:t>
      </w:r>
      <w:r>
        <w:rPr>
          <w:rFonts w:ascii="仿宋" w:eastAsia="仿宋" w:hAnsi="仿宋" w:cs="仿宋" w:hint="eastAsia"/>
          <w:b/>
          <w:sz w:val="24"/>
        </w:rPr>
        <w:t>主要财务指标和产品净值表现</w:t>
      </w:r>
      <w:bookmarkEnd w:id="5"/>
    </w:p>
    <w:p w:rsidR="0014030B">
      <w:pPr>
        <w:adjustRightInd w:val="0"/>
        <w:snapToGrid w:val="0"/>
        <w:spacing w:line="440" w:lineRule="exact"/>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hint="eastAsia"/>
          <w:sz w:val="24"/>
        </w:rPr>
        <w:t>元</w:t>
      </w:r>
      <w:r>
        <w:rPr>
          <w:rFonts w:ascii="仿宋" w:eastAsia="仿宋" w:hAnsi="仿宋" w:cs="仿宋" w:hint="eastAsia"/>
          <w:sz w:val="24"/>
        </w:rPr>
        <w:t>、份、</w:t>
      </w: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报告期</w:t>
            </w:r>
          </w:p>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w:t>
            </w:r>
            <w:r>
              <w:rPr>
                <w:rFonts w:ascii="仿宋" w:eastAsia="仿宋" w:hAnsi="仿宋" w:cs="仿宋" w:hint="eastAsia"/>
                <w:color w:val="000000"/>
                <w:kern w:val="0"/>
                <w:sz w:val="24"/>
              </w:rPr>
              <w:t>2024年4月1日</w:t>
            </w:r>
            <w:r>
              <w:rPr>
                <w:rFonts w:ascii="仿宋" w:eastAsia="仿宋" w:hAnsi="仿宋" w:cs="仿宋" w:hint="eastAsia"/>
                <w:color w:val="000000"/>
                <w:kern w:val="0"/>
                <w:sz w:val="24"/>
              </w:rPr>
              <w:t>-</w:t>
            </w:r>
            <w:r>
              <w:rPr>
                <w:rFonts w:ascii="仿宋" w:eastAsia="仿宋" w:hAnsi="仿宋" w:cs="仿宋"/>
                <w:color w:val="000000"/>
                <w:sz w:val="24"/>
              </w:rPr>
              <w:t>2024年6月30日</w:t>
            </w:r>
            <w:r>
              <w:rPr>
                <w:rFonts w:ascii="仿宋" w:eastAsia="仿宋" w:hAnsi="仿宋"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304,677,623.23</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kern w:val="0"/>
                <w:sz w:val="24"/>
              </w:rPr>
            </w:pPr>
            <w:r>
              <w:rPr>
                <w:rFonts w:ascii="仿宋" w:eastAsia="仿宋" w:hAnsi="仿宋" w:cs="仿宋" w:hint="eastAsia"/>
                <w:kern w:val="0"/>
                <w:sz w:val="24"/>
              </w:rPr>
              <w:t>285,105,000.00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1.0687</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1.0687</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FF"/>
                <w:sz w:val="24"/>
              </w:rPr>
            </w:pPr>
            <w:r>
              <w:rPr>
                <w:rFonts w:ascii="仿宋" w:eastAsia="仿宋" w:hAnsi="仿宋"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份额</w:t>
            </w:r>
          </w:p>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丰裕固收22078期A款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FYG22078A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1.0686</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1.0686</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302,930,796.51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丰裕固收22078期D款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FYG22078D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1.0717</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1.0717</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1,746,826.72</w:t>
            </w:r>
          </w:p>
        </w:tc>
      </w:tr>
    </w:tbl>
    <w:p w:rsidR="0014030B">
      <w:pPr>
        <w:adjustRightInd w:val="0"/>
        <w:snapToGrid w:val="0"/>
        <w:spacing w:line="440" w:lineRule="exact"/>
        <w:outlineLvl w:val="2"/>
        <w:rPr>
          <w:rFonts w:ascii="仿宋" w:eastAsia="仿宋" w:hAnsi="仿宋" w:cs="仿宋"/>
          <w:b/>
          <w:sz w:val="24"/>
        </w:rPr>
      </w:pPr>
      <w:bookmarkStart w:id="6" w:name="_Toc155677067"/>
      <w:r>
        <w:rPr>
          <w:rFonts w:ascii="仿宋" w:eastAsia="仿宋" w:hAnsi="仿宋" w:cs="仿宋" w:hint="eastAsia"/>
          <w:b/>
          <w:sz w:val="24"/>
        </w:rPr>
        <w:t>3.</w:t>
      </w:r>
      <w:r>
        <w:rPr>
          <w:rFonts w:ascii="仿宋" w:eastAsia="仿宋" w:hAnsi="仿宋" w:cs="仿宋"/>
          <w:b/>
          <w:sz w:val="24"/>
        </w:rPr>
        <w:t>2</w:t>
      </w:r>
      <w:r>
        <w:rPr>
          <w:rFonts w:ascii="仿宋" w:eastAsia="仿宋" w:hAnsi="仿宋" w:cs="仿宋" w:hint="eastAsia"/>
          <w:b/>
          <w:sz w:val="24"/>
        </w:rPr>
        <w:t xml:space="preserve"> </w:t>
      </w:r>
      <w:r>
        <w:rPr>
          <w:rFonts w:ascii="仿宋" w:eastAsia="仿宋" w:hAnsi="仿宋" w:cs="仿宋" w:hint="eastAsia"/>
          <w:b/>
          <w:sz w:val="24"/>
        </w:rPr>
        <w:t>产品收益表现</w:t>
      </w:r>
      <w:bookmarkEnd w:id="6"/>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一个月年化收益率</w:t>
            </w:r>
            <w:r>
              <w:rPr>
                <w:rFonts w:ascii="仿宋" w:eastAsia="仿宋" w:hAnsi="仿宋" w:cs="仿宋" w:hint="eastAsia"/>
                <w:kern w:val="0"/>
                <w:sz w:val="24"/>
              </w:rPr>
              <w:t>（</w:t>
            </w:r>
            <w:r>
              <w:rPr>
                <w:rFonts w:ascii="仿宋" w:eastAsia="仿宋" w:hAnsi="仿宋" w:cs="仿宋" w:hint="eastAsia"/>
                <w:kern w:val="0"/>
                <w:sz w:val="24"/>
              </w:rPr>
              <w:t>%</w:t>
            </w:r>
            <w:r>
              <w:rPr>
                <w:rFonts w:ascii="仿宋" w:eastAsia="仿宋" w:hAnsi="仿宋"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三个月年化收益率</w:t>
            </w:r>
            <w:r>
              <w:rPr>
                <w:rFonts w:ascii="仿宋" w:eastAsia="仿宋" w:hAnsi="仿宋" w:cs="仿宋" w:hint="eastAsia"/>
                <w:kern w:val="0"/>
                <w:sz w:val="24"/>
              </w:rPr>
              <w:t>（</w:t>
            </w:r>
            <w:r>
              <w:rPr>
                <w:rFonts w:ascii="仿宋" w:eastAsia="仿宋" w:hAnsi="仿宋" w:cs="仿宋" w:hint="eastAsia"/>
                <w:kern w:val="0"/>
                <w:sz w:val="24"/>
              </w:rPr>
              <w:t>%</w:t>
            </w:r>
            <w:r>
              <w:rPr>
                <w:rFonts w:ascii="仿宋" w:eastAsia="仿宋" w:hAnsi="仿宋"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六个月年化收益率</w:t>
            </w:r>
            <w:r>
              <w:rPr>
                <w:rFonts w:ascii="仿宋" w:eastAsia="仿宋" w:hAnsi="仿宋" w:cs="仿宋" w:hint="eastAsia"/>
                <w:kern w:val="0"/>
                <w:sz w:val="24"/>
              </w:rPr>
              <w:t>（</w:t>
            </w:r>
            <w:r>
              <w:rPr>
                <w:rFonts w:ascii="仿宋" w:eastAsia="仿宋" w:hAnsi="仿宋" w:cs="仿宋" w:hint="eastAsia"/>
                <w:kern w:val="0"/>
                <w:sz w:val="24"/>
              </w:rPr>
              <w:t>%</w:t>
            </w:r>
            <w:r>
              <w:rPr>
                <w:rFonts w:ascii="仿宋" w:eastAsia="仿宋" w:hAnsi="仿宋"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近一年年化收益率</w:t>
            </w:r>
            <w:r>
              <w:rPr>
                <w:rFonts w:ascii="仿宋" w:eastAsia="仿宋" w:hAnsi="仿宋" w:cs="仿宋" w:hint="eastAsia"/>
                <w:kern w:val="0"/>
                <w:sz w:val="24"/>
              </w:rPr>
              <w:t>（</w:t>
            </w:r>
            <w:r>
              <w:rPr>
                <w:rFonts w:ascii="仿宋" w:eastAsia="仿宋" w:hAnsi="仿宋" w:cs="仿宋" w:hint="eastAsia"/>
                <w:kern w:val="0"/>
                <w:sz w:val="24"/>
              </w:rPr>
              <w:t>%</w:t>
            </w:r>
            <w:r>
              <w:rPr>
                <w:rFonts w:ascii="仿宋" w:eastAsia="仿宋" w:hAnsi="仿宋"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color w:val="000000"/>
                <w:kern w:val="0"/>
                <w:sz w:val="24"/>
              </w:rPr>
              <w:t>成立</w:t>
            </w:r>
            <w:r>
              <w:rPr>
                <w:rFonts w:ascii="仿宋" w:eastAsia="仿宋" w:hAnsi="仿宋" w:cs="仿宋" w:hint="eastAsia"/>
                <w:color w:val="000000"/>
                <w:kern w:val="0"/>
                <w:sz w:val="24"/>
              </w:rPr>
              <w:t>以来年化收益率</w:t>
            </w:r>
            <w:r>
              <w:rPr>
                <w:rFonts w:ascii="仿宋" w:eastAsia="仿宋" w:hAnsi="仿宋" w:cs="仿宋" w:hint="eastAsia"/>
                <w:kern w:val="0"/>
                <w:sz w:val="24"/>
              </w:rPr>
              <w:t>（</w:t>
            </w:r>
            <w:r>
              <w:rPr>
                <w:rFonts w:ascii="仿宋" w:eastAsia="仿宋" w:hAnsi="仿宋" w:cs="仿宋" w:hint="eastAsia"/>
                <w:kern w:val="0"/>
                <w:sz w:val="24"/>
              </w:rPr>
              <w:t>%</w:t>
            </w:r>
            <w:r>
              <w:rPr>
                <w:rFonts w:ascii="仿宋" w:eastAsia="仿宋" w:hAnsi="仿宋"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丰裕固收22078期A款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4.23</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4.49</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4.60</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4.66</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4.62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丰裕固收22078期D款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4.56</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4.67</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4.78</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4.87</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4.83</w:t>
            </w:r>
          </w:p>
        </w:tc>
      </w:tr>
    </w:tbl>
    <w:p w:rsidR="0014030B">
      <w:pPr>
        <w:adjustRightInd w:val="0"/>
        <w:snapToGrid w:val="0"/>
        <w:spacing w:line="36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折合年化收益率</w:t>
      </w:r>
      <w:r>
        <w:rPr>
          <w:rFonts w:ascii="仿宋" w:eastAsia="仿宋" w:hAnsi="仿宋" w:cs="仿宋" w:hint="eastAsia"/>
          <w:sz w:val="24"/>
        </w:rPr>
        <w:t>计算公式为：（当前累计净值</w:t>
      </w:r>
      <w:r>
        <w:rPr>
          <w:rFonts w:ascii="仿宋" w:eastAsia="仿宋" w:hAnsi="仿宋" w:cs="仿宋" w:hint="eastAsia"/>
          <w:sz w:val="24"/>
        </w:rPr>
        <w:t>-N</w:t>
      </w:r>
      <w:r>
        <w:rPr>
          <w:rFonts w:ascii="仿宋" w:eastAsia="仿宋" w:hAnsi="仿宋" w:cs="仿宋" w:hint="eastAsia"/>
          <w:sz w:val="24"/>
        </w:rPr>
        <w:t>天前累计净值）</w:t>
      </w:r>
      <w:r>
        <w:rPr>
          <w:rFonts w:ascii="仿宋" w:eastAsia="仿宋" w:hAnsi="仿宋" w:cs="仿宋" w:hint="eastAsia"/>
          <w:sz w:val="24"/>
        </w:rPr>
        <w:t>/N</w:t>
      </w:r>
      <w:r>
        <w:rPr>
          <w:rFonts w:ascii="仿宋" w:eastAsia="仿宋" w:hAnsi="仿宋" w:cs="仿宋" w:hint="eastAsia"/>
          <w:sz w:val="24"/>
        </w:rPr>
        <w:t>天前单位净值</w:t>
      </w:r>
      <w:r>
        <w:rPr>
          <w:rFonts w:ascii="仿宋" w:eastAsia="仿宋" w:hAnsi="仿宋" w:cs="仿宋" w:hint="eastAsia"/>
          <w:sz w:val="24"/>
        </w:rPr>
        <w:t>/N*365*100%</w:t>
      </w:r>
      <w:r>
        <w:rPr>
          <w:rFonts w:ascii="仿宋" w:eastAsia="仿宋" w:hAnsi="仿宋" w:cs="仿宋" w:hint="eastAsia"/>
          <w:sz w:val="24"/>
        </w:rPr>
        <w:t>，</w:t>
      </w:r>
      <w:r>
        <w:rPr>
          <w:rFonts w:ascii="仿宋" w:eastAsia="仿宋" w:hAnsi="仿宋" w:cs="仿宋" w:hint="eastAsia"/>
          <w:sz w:val="24"/>
        </w:rPr>
        <w:t>N</w:t>
      </w:r>
      <w:r>
        <w:rPr>
          <w:rFonts w:ascii="仿宋" w:eastAsia="仿宋" w:hAnsi="仿宋" w:cs="仿宋" w:hint="eastAsia"/>
          <w:sz w:val="24"/>
        </w:rPr>
        <w:t>的取值为：近一个月：</w:t>
      </w:r>
      <w:r>
        <w:rPr>
          <w:rFonts w:ascii="仿宋" w:eastAsia="仿宋" w:hAnsi="仿宋" w:cs="仿宋" w:hint="eastAsia"/>
          <w:sz w:val="24"/>
        </w:rPr>
        <w:t>30</w:t>
      </w:r>
      <w:r>
        <w:rPr>
          <w:rFonts w:ascii="仿宋" w:eastAsia="仿宋" w:hAnsi="仿宋" w:cs="仿宋" w:hint="eastAsia"/>
          <w:sz w:val="24"/>
        </w:rPr>
        <w:t>天；近三个月：</w:t>
      </w:r>
      <w:r>
        <w:rPr>
          <w:rFonts w:ascii="仿宋" w:eastAsia="仿宋" w:hAnsi="仿宋" w:cs="仿宋" w:hint="eastAsia"/>
          <w:sz w:val="24"/>
        </w:rPr>
        <w:t>90</w:t>
      </w:r>
      <w:r>
        <w:rPr>
          <w:rFonts w:ascii="仿宋" w:eastAsia="仿宋" w:hAnsi="仿宋" w:cs="仿宋" w:hint="eastAsia"/>
          <w:sz w:val="24"/>
        </w:rPr>
        <w:t>天；近六个月：</w:t>
      </w:r>
      <w:r>
        <w:rPr>
          <w:rFonts w:ascii="仿宋" w:eastAsia="仿宋" w:hAnsi="仿宋" w:cs="仿宋" w:hint="eastAsia"/>
          <w:sz w:val="24"/>
        </w:rPr>
        <w:t>180</w:t>
      </w:r>
      <w:r>
        <w:rPr>
          <w:rFonts w:ascii="仿宋" w:eastAsia="仿宋" w:hAnsi="仿宋" w:cs="仿宋" w:hint="eastAsia"/>
          <w:sz w:val="24"/>
        </w:rPr>
        <w:t>天；近一年：</w:t>
      </w:r>
      <w:r>
        <w:rPr>
          <w:rFonts w:ascii="仿宋" w:eastAsia="仿宋" w:hAnsi="仿宋" w:cs="仿宋" w:hint="eastAsia"/>
          <w:sz w:val="24"/>
        </w:rPr>
        <w:t>365</w:t>
      </w:r>
      <w:r>
        <w:rPr>
          <w:rFonts w:ascii="仿宋" w:eastAsia="仿宋" w:hAnsi="仿宋" w:cs="仿宋" w:hint="eastAsia"/>
          <w:sz w:val="24"/>
        </w:rPr>
        <w:t>天；成立以来：当前日期</w:t>
      </w:r>
      <w:r>
        <w:rPr>
          <w:rFonts w:ascii="仿宋" w:eastAsia="仿宋" w:hAnsi="仿宋" w:cs="仿宋" w:hint="eastAsia"/>
          <w:sz w:val="24"/>
        </w:rPr>
        <w:t>-</w:t>
      </w:r>
      <w:r>
        <w:rPr>
          <w:rFonts w:ascii="仿宋" w:eastAsia="仿宋" w:hAnsi="仿宋" w:cs="仿宋" w:hint="eastAsia"/>
          <w:sz w:val="24"/>
        </w:rPr>
        <w:t>成立日；</w:t>
      </w:r>
      <w:r>
        <w:rPr>
          <w:rFonts w:ascii="仿宋" w:eastAsia="仿宋" w:hAnsi="仿宋" w:cs="仿宋" w:hint="eastAsia"/>
          <w:sz w:val="24"/>
        </w:rPr>
        <w:br/>
        <w:t>*</w:t>
      </w:r>
      <w:r>
        <w:rPr>
          <w:rFonts w:ascii="仿宋" w:eastAsia="仿宋" w:hAnsi="仿宋" w:cs="仿宋" w:hint="eastAsia"/>
          <w:sz w:val="24"/>
        </w:rPr>
        <w:t>产品过往业绩相关数据已经产品托管人复核；</w:t>
      </w:r>
      <w:bookmarkStart w:id="7" w:name="_GoBack"/>
      <w:bookmarkEnd w:id="7"/>
    </w:p>
    <w:p w:rsidR="00701460">
      <w:pPr>
        <w:adjustRightInd w:val="0"/>
        <w:snapToGrid w:val="0"/>
        <w:spacing w:line="360" w:lineRule="exact"/>
        <w:rPr>
          <w:rFonts w:ascii="仿宋" w:eastAsia="仿宋" w:hAnsi="仿宋" w:cs="仿宋" w:hint="eastAsia"/>
          <w:sz w:val="24"/>
        </w:rPr>
      </w:pPr>
      <w:r>
        <w:rPr>
          <w:rFonts w:ascii="仿宋" w:eastAsia="仿宋" w:hAnsi="仿宋" w:cs="仿宋" w:hint="eastAsia"/>
          <w:sz w:val="24"/>
        </w:rPr>
        <w:t>*</w:t>
      </w:r>
      <w:r>
        <w:rPr>
          <w:rFonts w:ascii="仿宋" w:eastAsia="仿宋" w:hAnsi="仿宋" w:hint="eastAsia"/>
          <w:sz w:val="24"/>
        </w:rPr>
        <w:t>理财产品过往业绩不代表其未来的表现及收益，理财非存款，市场有风险，投资需谨慎</w:t>
      </w:r>
      <w:r>
        <w:rPr>
          <w:rFonts w:ascii="仿宋" w:eastAsia="仿宋" w:hAnsi="仿宋" w:hint="eastAsia"/>
          <w:sz w:val="24"/>
        </w:rPr>
        <w:t>。</w:t>
      </w:r>
    </w:p>
    <w:p w:rsidR="0014030B">
      <w:pPr>
        <w:adjustRightInd w:val="0"/>
        <w:snapToGrid w:val="0"/>
        <w:rPr>
          <w:rFonts w:ascii="仿宋" w:eastAsia="仿宋" w:hAnsi="仿宋" w:cs="仿宋"/>
          <w:color w:val="404040"/>
          <w:kern w:val="0"/>
          <w:sz w:val="24"/>
        </w:rPr>
      </w:pPr>
    </w:p>
    <w:p w:rsidR="0014030B">
      <w:pPr>
        <w:pStyle w:val="Heading2"/>
        <w:adjustRightInd w:val="0"/>
        <w:snapToGrid w:val="0"/>
        <w:spacing w:line="560" w:lineRule="exact"/>
        <w:jc w:val="center"/>
        <w:rPr>
          <w:rFonts w:ascii="仿宋" w:eastAsia="仿宋" w:hAnsi="仿宋" w:cs="仿宋"/>
          <w:sz w:val="24"/>
        </w:rPr>
      </w:pPr>
      <w:bookmarkStart w:id="8" w:name="_Toc829383023"/>
      <w:r>
        <w:rPr>
          <w:rFonts w:ascii="仿宋" w:eastAsia="仿宋" w:hAnsi="仿宋" w:cs="仿宋" w:hint="eastAsia"/>
          <w:sz w:val="24"/>
        </w:rPr>
        <w:t>§</w:t>
      </w:r>
      <w:r>
        <w:rPr>
          <w:rFonts w:ascii="仿宋" w:eastAsia="仿宋" w:hAnsi="仿宋" w:cs="仿宋" w:hint="eastAsia"/>
          <w:sz w:val="24"/>
        </w:rPr>
        <w:t xml:space="preserve">4  </w:t>
      </w:r>
      <w:r>
        <w:rPr>
          <w:rFonts w:ascii="仿宋" w:eastAsia="仿宋" w:hAnsi="仿宋" w:cs="仿宋" w:hint="eastAsia"/>
          <w:sz w:val="24"/>
        </w:rPr>
        <w:t>投资组合报告</w:t>
      </w:r>
      <w:bookmarkEnd w:id="8"/>
    </w:p>
    <w:p w:rsidR="0014030B">
      <w:pPr>
        <w:adjustRightInd w:val="0"/>
        <w:snapToGrid w:val="0"/>
        <w:spacing w:line="440" w:lineRule="exact"/>
        <w:outlineLvl w:val="2"/>
        <w:rPr>
          <w:rFonts w:ascii="仿宋" w:eastAsia="仿宋" w:hAnsi="仿宋" w:cs="仿宋"/>
          <w:b/>
          <w:sz w:val="24"/>
        </w:rPr>
      </w:pPr>
      <w:bookmarkStart w:id="9" w:name="_Toc124114884"/>
      <w:r>
        <w:rPr>
          <w:rFonts w:ascii="仿宋" w:eastAsia="仿宋" w:hAnsi="仿宋" w:cs="仿宋" w:hint="eastAsia"/>
          <w:b/>
          <w:sz w:val="24"/>
        </w:rPr>
        <w:t xml:space="preserve">4.1 </w:t>
      </w:r>
      <w:r>
        <w:rPr>
          <w:rFonts w:ascii="仿宋" w:eastAsia="仿宋" w:hAnsi="仿宋" w:cs="仿宋" w:hint="eastAsia"/>
          <w:b/>
          <w:sz w:val="24"/>
        </w:rPr>
        <w:t>报告期内产品投资策略回顾</w:t>
      </w:r>
      <w:bookmarkEnd w:id="9"/>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2024年2季度以来，债券收益率整体大幅下行，宏观经济在经历1季度短暂回暖后，2季度经济修复重新面临考验，经济内生性增长动力不足，地产销售依旧疲弱，基建投资增速放缓，消费增速缓慢修复，通胀数据疲软，市场整体预期偏弱。政策方面，受银行净息差和汇率约束，二季度政策利率并未调降，但存款利率、新增房贷利率持续下行，二季度房地产刺激政策不断出台，但房地产刺激效果仍待进一步观察，整体而言，投资者信心和社会总需求仍有待提振。二季度监管叫停存款手工补息，存款大幅流出到理财、基金等产品，非银机构资金充裕，资产荒明显，推动债券收益率大幅下行，各品种债券收益率一度创下2022年以来新低。从收益率来看，截至6月30日，10年国债收益率2.21%，较2季度初下行8bp，1年期国股存单收益率1.96%，较2季度初下行28bp，3年期AA+城投债收益率2.24%，较2季度初下行40bp，3年期AAA银行二级资本债收益率2.06%，较2季度初下行34bp，二季度信用债和二级资本债等高绝对收益债券收益率下行幅度更大，资产荒背景下高绝对收益债券受追捧。本产品主要配置固收类资产，以期限匹配策略为主，产品净值收益表现稳健。</w:t>
      </w:r>
    </w:p>
    <w:p w:rsidR="0014030B">
      <w:pPr>
        <w:adjustRightInd w:val="0"/>
        <w:snapToGrid w:val="0"/>
        <w:spacing w:line="440" w:lineRule="exact"/>
        <w:outlineLvl w:val="2"/>
        <w:rPr>
          <w:rFonts w:ascii="仿宋" w:eastAsia="仿宋" w:hAnsi="仿宋" w:cs="仿宋"/>
          <w:b/>
          <w:sz w:val="24"/>
        </w:rPr>
      </w:pPr>
      <w:bookmarkStart w:id="10" w:name="_Toc792234151"/>
      <w:r>
        <w:rPr>
          <w:rFonts w:ascii="仿宋" w:eastAsia="仿宋" w:hAnsi="仿宋" w:cs="仿宋" w:hint="eastAsia"/>
          <w:b/>
          <w:sz w:val="24"/>
        </w:rPr>
        <w:t>4.2</w:t>
      </w:r>
      <w:r>
        <w:rPr>
          <w:rFonts w:ascii="仿宋" w:eastAsia="仿宋" w:hAnsi="仿宋" w:cs="仿宋" w:hint="eastAsia"/>
          <w:b/>
          <w:sz w:val="24"/>
        </w:rPr>
        <w:t>产品未来展望</w:t>
      </w:r>
      <w:bookmarkEnd w:id="10"/>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展望2024年3季度，从基本面来看，无论从经济高频数据还是前瞻性数据来看，经济仍处于弱复苏态势，6月底30城地产销售面积有所回暖，但房地产领域更全面的回暖仍需进一步观察，消费仍处于缓慢修复过程中，在复杂的国际贸易环境下，出口能否保持上半年的高增速存在一定不确定性，制造业投资有望保持高增，经济内生性动力有待提升，基本面环境对债市仍偏暖；从政策面来看，6月底央行对银行间资金面市场整体仍友好，后续市场资金利率大概率围绕政策利率波动，下半年降准降息的可能性仍存，短端债券收益率仍有下行空间。整体来说，经济弱复苏，货币政策保持相对宽松，债市流动性环境相对友好，理财规模大幅扩张，机构投资者普遍欠配，债券收益率易下难上，但目前债市收益率已来到较低水平，信用利差分位数处于历史低位，收益率下行受资金面的约束越发明显，后续继续大幅下行的可能性较小，我们预期3季度债券收益率整体低位震荡。本产品以期限匹配策略为主，产品收益表现预计将持续稳健。</w:t>
      </w:r>
    </w:p>
    <w:p w:rsidR="0014030B">
      <w:pPr>
        <w:adjustRightInd w:val="0"/>
        <w:snapToGrid w:val="0"/>
        <w:spacing w:line="440" w:lineRule="exact"/>
        <w:outlineLvl w:val="2"/>
        <w:rPr>
          <w:rFonts w:ascii="仿宋" w:eastAsia="仿宋" w:hAnsi="仿宋" w:cs="仿宋"/>
          <w:b/>
          <w:sz w:val="24"/>
        </w:rPr>
      </w:pPr>
      <w:bookmarkStart w:id="11" w:name="_Toc680764457"/>
      <w:r>
        <w:rPr>
          <w:rFonts w:ascii="仿宋" w:eastAsia="仿宋" w:hAnsi="仿宋" w:cs="仿宋" w:hint="eastAsia"/>
          <w:b/>
          <w:sz w:val="24"/>
        </w:rPr>
        <w:t>4.3</w:t>
      </w:r>
      <w:r>
        <w:rPr>
          <w:rFonts w:ascii="仿宋" w:eastAsia="仿宋" w:hAnsi="仿宋" w:cs="仿宋" w:hint="eastAsia"/>
          <w:b/>
          <w:sz w:val="24"/>
        </w:rPr>
        <w:t>投资组合的流动性风险分析</w:t>
      </w:r>
      <w:bookmarkEnd w:id="11"/>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pPr>
        <w:adjustRightInd w:val="0"/>
        <w:snapToGrid w:val="0"/>
        <w:spacing w:line="440" w:lineRule="exact"/>
        <w:outlineLvl w:val="2"/>
        <w:rPr>
          <w:rFonts w:ascii="仿宋" w:eastAsia="仿宋" w:hAnsi="仿宋" w:cs="仿宋"/>
          <w:b/>
          <w:sz w:val="24"/>
        </w:rPr>
      </w:pPr>
      <w:bookmarkStart w:id="12" w:name="_Toc1962841230"/>
      <w:r>
        <w:rPr>
          <w:rFonts w:ascii="仿宋" w:eastAsia="仿宋" w:hAnsi="仿宋" w:cs="仿宋" w:hint="eastAsia"/>
          <w:b/>
          <w:sz w:val="24"/>
        </w:rPr>
        <w:t xml:space="preserve">4.4 </w:t>
      </w:r>
      <w:r>
        <w:rPr>
          <w:rFonts w:ascii="仿宋" w:eastAsia="仿宋" w:hAnsi="仿宋" w:cs="仿宋" w:hint="eastAsia"/>
          <w:b/>
          <w:sz w:val="24"/>
        </w:rPr>
        <w:t>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4082" w:type="dxa"/>
            <w:tcBorders>
              <w:top w:val="single" w:sz="4" w:space="0" w:color="auto"/>
              <w:left w:val="nil"/>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项目</w:t>
            </w:r>
          </w:p>
        </w:tc>
        <w:tc>
          <w:tcPr>
            <w:tcW w:w="2268" w:type="dxa"/>
            <w:tcBorders>
              <w:top w:val="single" w:sz="4" w:space="0" w:color="auto"/>
              <w:left w:val="nil"/>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期末</w:t>
            </w:r>
            <w:r>
              <w:rPr>
                <w:rFonts w:ascii="仿宋" w:eastAsia="仿宋" w:hAnsi="仿宋" w:cs="仿宋" w:hint="eastAsia"/>
                <w:sz w:val="24"/>
              </w:rPr>
              <w:t>穿透前占总</w:t>
            </w:r>
            <w:r>
              <w:rPr>
                <w:rFonts w:ascii="仿宋" w:eastAsia="仿宋" w:hAnsi="仿宋"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0.37</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0.37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78.47</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78.47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非标准化债券类资产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21.16</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21.16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100.00</w:t>
            </w:r>
          </w:p>
        </w:tc>
      </w:tr>
    </w:tbl>
    <w:p w:rsidR="0014030B">
      <w:pPr>
        <w:adjustRightInd w:val="0"/>
        <w:snapToGrid w:val="0"/>
        <w:spacing w:line="440" w:lineRule="exact"/>
        <w:outlineLvl w:val="2"/>
        <w:rPr>
          <w:rFonts w:ascii="仿宋" w:eastAsia="仿宋" w:hAnsi="仿宋" w:cs="仿宋"/>
          <w:b/>
          <w:sz w:val="24"/>
        </w:rPr>
      </w:pPr>
      <w:bookmarkStart w:id="13" w:name="_Toc1258005047"/>
      <w:r>
        <w:rPr>
          <w:rFonts w:ascii="仿宋" w:eastAsia="仿宋" w:hAnsi="仿宋" w:cs="仿宋" w:hint="eastAsia"/>
          <w:b/>
          <w:sz w:val="24"/>
        </w:rPr>
        <w:t>4.</w:t>
      </w:r>
      <w:r>
        <w:rPr>
          <w:rFonts w:ascii="仿宋" w:eastAsia="仿宋" w:hAnsi="仿宋" w:cs="仿宋"/>
          <w:b/>
          <w:sz w:val="24"/>
        </w:rPr>
        <w:t>5</w:t>
      </w:r>
      <w:r>
        <w:rPr>
          <w:rFonts w:ascii="仿宋" w:eastAsia="仿宋" w:hAnsi="仿宋" w:cs="仿宋" w:hint="eastAsia"/>
          <w:b/>
          <w:sz w:val="24"/>
        </w:rPr>
        <w:t>报告期末投资前十名资产明细</w:t>
      </w:r>
      <w:bookmarkEnd w:id="13"/>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hint="eastAsia"/>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金额（</w:t>
            </w:r>
            <w:r>
              <w:rPr>
                <w:rFonts w:ascii="仿宋" w:eastAsia="仿宋" w:hAnsi="仿宋" w:cs="仿宋" w:hint="eastAsia"/>
                <w:sz w:val="24"/>
              </w:rPr>
              <w:t>元</w:t>
            </w:r>
            <w:r>
              <w:rPr>
                <w:rFonts w:ascii="仿宋" w:eastAsia="仿宋" w:hAnsi="仿宋" w:cs="仿宋" w:hint="eastAsia"/>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23兰溪城投01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41,098,314.10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13.49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23新昌工业园01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41,007,468.85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13.46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20天恒置业PPN001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20,559,980.28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6.75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20珠海港MTN001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20,433,873.42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6.71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20南通经开MTN001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20,419,072.92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6.70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22滨江投资PPN001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20,297,800.19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6.66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22南京浦口PPN001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20,287,004.65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6.66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22湘家荡PPN001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20,274,725.46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6.65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22海鸿投资PPN001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20,264,129.15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6.65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22启东城投PPN001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20,254,391.24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6.65</w:t>
            </w:r>
          </w:p>
        </w:tc>
      </w:tr>
    </w:tbl>
    <w:p w:rsidR="0014030B">
      <w:pPr>
        <w:adjustRightInd w:val="0"/>
        <w:snapToGrid w:val="0"/>
        <w:spacing w:line="440" w:lineRule="exact"/>
        <w:outlineLvl w:val="2"/>
        <w:rPr>
          <w:rFonts w:ascii="仿宋" w:eastAsia="仿宋" w:hAnsi="仿宋" w:cs="仿宋"/>
          <w:b/>
          <w:sz w:val="24"/>
        </w:rPr>
      </w:pPr>
      <w:bookmarkStart w:id="14" w:name="_Toc1314320214"/>
      <w:r>
        <w:rPr>
          <w:rFonts w:ascii="仿宋" w:eastAsia="仿宋" w:hAnsi="仿宋" w:cs="仿宋" w:hint="eastAsia"/>
          <w:b/>
          <w:sz w:val="24"/>
        </w:rPr>
        <w:t>4.</w:t>
      </w:r>
      <w:r>
        <w:rPr>
          <w:rFonts w:ascii="仿宋" w:eastAsia="仿宋" w:hAnsi="仿宋" w:cs="仿宋"/>
          <w:b/>
          <w:sz w:val="24"/>
        </w:rPr>
        <w:t>6</w:t>
      </w:r>
      <w:r>
        <w:rPr>
          <w:rFonts w:ascii="仿宋" w:eastAsia="仿宋" w:hAnsi="仿宋" w:cs="仿宋" w:hint="eastAsia"/>
          <w:b/>
          <w:sz w:val="24"/>
        </w:rPr>
        <w:t>报告期融资情况</w:t>
      </w:r>
      <w:bookmarkEnd w:id="14"/>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hint="eastAsia"/>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金额（</w:t>
            </w:r>
            <w:r>
              <w:rPr>
                <w:rFonts w:ascii="仿宋" w:eastAsia="仿宋" w:hAnsi="仿宋" w:cs="仿宋" w:hint="eastAsia"/>
                <w:sz w:val="24"/>
              </w:rPr>
              <w:t>元</w:t>
            </w:r>
            <w:r>
              <w:rPr>
                <w:rFonts w:ascii="仿宋" w:eastAsia="仿宋" w:hAnsi="仿宋" w:cs="仿宋" w:hint="eastAsia"/>
                <w:sz w:val="24"/>
              </w:rPr>
              <w:t>）</w:t>
            </w:r>
          </w:p>
        </w:tc>
        <w:tc>
          <w:tcPr>
            <w:tcW w:w="2767"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80,036,710.43</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26.27</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bl>
    <w:p w:rsidR="0014030B">
      <w:pPr>
        <w:adjustRightInd w:val="0"/>
        <w:snapToGrid w:val="0"/>
        <w:spacing w:line="440" w:lineRule="exact"/>
        <w:outlineLvl w:val="2"/>
        <w:rPr>
          <w:rFonts w:ascii="仿宋" w:eastAsia="仿宋" w:hAnsi="仿宋" w:cs="仿宋"/>
          <w:b/>
          <w:sz w:val="24"/>
        </w:rPr>
      </w:pPr>
      <w:bookmarkStart w:id="15" w:name="_Toc481074947"/>
      <w:bookmarkStart w:id="16" w:name="_Toc763043656"/>
      <w:r>
        <w:rPr>
          <w:rFonts w:ascii="仿宋" w:eastAsia="仿宋" w:hAnsi="仿宋" w:cs="仿宋" w:hint="eastAsia"/>
          <w:b/>
          <w:sz w:val="24"/>
        </w:rPr>
        <w:t>4.</w:t>
      </w:r>
      <w:r>
        <w:rPr>
          <w:rFonts w:ascii="仿宋" w:eastAsia="仿宋" w:hAnsi="仿宋" w:cs="仿宋"/>
          <w:b/>
          <w:sz w:val="24"/>
        </w:rPr>
        <w:t>7</w:t>
      </w:r>
      <w:r>
        <w:rPr>
          <w:rFonts w:ascii="仿宋" w:eastAsia="仿宋" w:hAnsi="仿宋" w:cs="仿宋" w:hint="eastAsia"/>
          <w:b/>
          <w:sz w:val="24"/>
        </w:rPr>
        <w:t>报告期末投资非标准化债权资产</w:t>
      </w:r>
      <w:bookmarkEnd w:id="15"/>
      <w:r>
        <w:rPr>
          <w:rFonts w:ascii="仿宋" w:eastAsia="仿宋" w:hAnsi="仿宋" w:cs="仿宋" w:hint="eastAsia"/>
          <w:b/>
          <w:sz w:val="24"/>
        </w:rPr>
        <w:t>情况</w:t>
      </w:r>
      <w:bookmarkEnd w:id="16"/>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hint="eastAsia"/>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r>
              <w:rPr>
                <w:rFonts w:ascii="仿宋" w:eastAsia="仿宋" w:hAnsi="仿宋" w:cs="仿宋" w:hint="eastAsia"/>
                <w:sz w:val="24"/>
              </w:rPr>
              <w:t xml:space="preserve"> </w:t>
            </w:r>
          </w:p>
        </w:tc>
        <w:tc>
          <w:tcPr>
            <w:tcW w:w="133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资产价值（</w:t>
            </w:r>
            <w:r>
              <w:rPr>
                <w:rFonts w:ascii="仿宋" w:eastAsia="仿宋" w:hAnsi="仿宋" w:cs="仿宋" w:hint="eastAsia"/>
                <w:sz w:val="24"/>
              </w:rPr>
              <w:t>元</w:t>
            </w:r>
            <w:r>
              <w:rPr>
                <w:rFonts w:ascii="仿宋" w:eastAsia="仿宋" w:hAnsi="仿宋" w:cs="仿宋" w:hint="eastAsia"/>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color w:val="FF0000"/>
                <w:sz w:val="24"/>
              </w:rPr>
            </w:pPr>
            <w:r>
              <w:rPr>
                <w:rFonts w:ascii="仿宋" w:eastAsia="仿宋" w:hAnsi="仿宋"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兰溪市城市投资集团有限公司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23兰溪城投01</w:t>
            </w:r>
          </w:p>
        </w:tc>
        <w:tc>
          <w:tcPr>
            <w:tcW w:w="1041"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2025-01-13</w:t>
            </w:r>
          </w:p>
        </w:tc>
        <w:tc>
          <w:tcPr>
            <w:tcW w:w="18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41,098,314.10</w:t>
            </w:r>
          </w:p>
        </w:tc>
        <w:tc>
          <w:tcPr>
            <w:tcW w:w="802"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其他（理财直融工具）</w:t>
            </w:r>
          </w:p>
        </w:tc>
        <w:tc>
          <w:tcPr>
            <w:tcW w:w="97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每年付息，到期一次还本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新昌县工业园区投资发展集团有限公司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23新昌工业园01</w:t>
            </w:r>
          </w:p>
        </w:tc>
        <w:tc>
          <w:tcPr>
            <w:tcW w:w="1041"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2025-01-12</w:t>
            </w:r>
          </w:p>
        </w:tc>
        <w:tc>
          <w:tcPr>
            <w:tcW w:w="18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41,007,468.85</w:t>
            </w:r>
          </w:p>
        </w:tc>
        <w:tc>
          <w:tcPr>
            <w:tcW w:w="802"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其他（理财直融工具）</w:t>
            </w:r>
          </w:p>
        </w:tc>
        <w:tc>
          <w:tcPr>
            <w:tcW w:w="97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每年付息，到期一次还本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正常</w:t>
            </w:r>
          </w:p>
        </w:tc>
      </w:tr>
    </w:tbl>
    <w:p w:rsidR="0014030B">
      <w:pPr>
        <w:adjustRightInd w:val="0"/>
        <w:snapToGrid w:val="0"/>
        <w:spacing w:line="380" w:lineRule="exact"/>
        <w:rPr>
          <w:rFonts w:ascii="仿宋" w:eastAsia="仿宋" w:hAnsi="仿宋" w:cs="仿宋"/>
          <w:color w:val="0000FF"/>
          <w:kern w:val="0"/>
          <w:sz w:val="24"/>
          <w:highlight w:val="yellow"/>
        </w:rPr>
      </w:pPr>
    </w:p>
    <w:p w:rsidR="0014030B">
      <w:pPr>
        <w:pStyle w:val="Heading2"/>
        <w:adjustRightInd w:val="0"/>
        <w:snapToGrid w:val="0"/>
        <w:spacing w:line="560" w:lineRule="exact"/>
        <w:jc w:val="center"/>
        <w:rPr>
          <w:rFonts w:ascii="仿宋" w:eastAsia="仿宋" w:hAnsi="仿宋" w:cs="仿宋"/>
          <w:sz w:val="24"/>
        </w:rPr>
      </w:pPr>
      <w:bookmarkStart w:id="17" w:name="_Toc1849870155"/>
      <w:r>
        <w:rPr>
          <w:rFonts w:ascii="仿宋" w:eastAsia="仿宋" w:hAnsi="仿宋" w:cs="仿宋" w:hint="eastAsia"/>
          <w:sz w:val="24"/>
        </w:rPr>
        <w:t>§</w:t>
      </w:r>
      <w:r>
        <w:rPr>
          <w:rFonts w:ascii="仿宋" w:eastAsia="仿宋" w:hAnsi="仿宋" w:cs="仿宋" w:hint="eastAsia"/>
          <w:sz w:val="24"/>
        </w:rPr>
        <w:t xml:space="preserve">5 </w:t>
      </w:r>
      <w:r>
        <w:rPr>
          <w:rFonts w:ascii="仿宋" w:eastAsia="仿宋" w:hAnsi="仿宋" w:cs="仿宋" w:hint="eastAsia"/>
          <w:sz w:val="24"/>
        </w:rPr>
        <w:t>产品份额变动</w:t>
      </w:r>
      <w:bookmarkEnd w:id="17"/>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pPr>
              <w:adjustRightInd w:val="0"/>
              <w:snapToGrid w:val="0"/>
              <w:rPr>
                <w:rFonts w:ascii="仿宋" w:eastAsia="仿宋" w:hAnsi="仿宋" w:cs="仿宋"/>
                <w:color w:val="000000"/>
                <w:sz w:val="24"/>
              </w:rPr>
            </w:pPr>
            <w:r>
              <w:rPr>
                <w:rFonts w:ascii="仿宋" w:eastAsia="仿宋" w:hAnsi="仿宋"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pPr>
              <w:adjustRightInd w:val="0"/>
              <w:snapToGrid w:val="0"/>
              <w:jc w:val="right"/>
              <w:rPr>
                <w:rFonts w:ascii="仿宋" w:eastAsia="仿宋" w:hAnsi="仿宋" w:cs="仿宋"/>
                <w:color w:val="000000"/>
                <w:sz w:val="24"/>
              </w:rPr>
            </w:pPr>
            <w:r>
              <w:rPr>
                <w:rFonts w:ascii="仿宋" w:eastAsia="仿宋" w:hAnsi="仿宋" w:cs="仿宋" w:hint="eastAsia"/>
                <w:color w:val="000000"/>
                <w:sz w:val="24"/>
              </w:rPr>
              <w:t>285,105,000.00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pPr>
              <w:adjustRightInd w:val="0"/>
              <w:snapToGrid w:val="0"/>
              <w:rPr>
                <w:rFonts w:ascii="仿宋" w:eastAsia="仿宋" w:hAnsi="仿宋" w:cs="仿宋"/>
                <w:color w:val="000000"/>
                <w:sz w:val="24"/>
              </w:rPr>
            </w:pPr>
            <w:r>
              <w:rPr>
                <w:rFonts w:ascii="仿宋" w:eastAsia="仿宋" w:hAnsi="仿宋"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pPr>
              <w:adjustRightInd w:val="0"/>
              <w:snapToGrid w:val="0"/>
              <w:jc w:val="right"/>
              <w:rPr>
                <w:rFonts w:ascii="仿宋" w:eastAsia="仿宋" w:hAnsi="仿宋" w:cs="仿宋"/>
                <w:color w:val="000000"/>
                <w:sz w:val="24"/>
              </w:rPr>
            </w:pPr>
            <w:r>
              <w:rPr>
                <w:rFonts w:ascii="仿宋" w:eastAsia="仿宋" w:hAnsi="仿宋" w:cs="仿宋" w:hint="eastAsia"/>
                <w:color w:val="000000"/>
                <w:sz w:val="24"/>
              </w:rPr>
              <w:t>285,105,000.00</w:t>
            </w:r>
          </w:p>
        </w:tc>
      </w:tr>
    </w:tbl>
    <w:p w:rsidR="0014030B">
      <w:pPr>
        <w:widowControl/>
        <w:adjustRightInd w:val="0"/>
        <w:snapToGrid w:val="0"/>
        <w:jc w:val="left"/>
        <w:rPr>
          <w:rFonts w:ascii="仿宋" w:eastAsia="仿宋" w:hAnsi="仿宋" w:cs="仿宋"/>
          <w:color w:val="404040"/>
          <w:kern w:val="0"/>
          <w:sz w:val="24"/>
        </w:rPr>
      </w:pPr>
    </w:p>
    <w:p w:rsidR="0014030B">
      <w:pPr>
        <w:pStyle w:val="Heading2"/>
        <w:adjustRightInd w:val="0"/>
        <w:snapToGrid w:val="0"/>
        <w:spacing w:line="560" w:lineRule="exact"/>
        <w:jc w:val="center"/>
        <w:rPr>
          <w:rFonts w:ascii="仿宋" w:eastAsia="仿宋" w:hAnsi="仿宋" w:cs="仿宋"/>
          <w:sz w:val="24"/>
        </w:rPr>
      </w:pPr>
      <w:bookmarkStart w:id="18" w:name="_Toc1646937466"/>
      <w:r>
        <w:rPr>
          <w:rFonts w:ascii="仿宋" w:eastAsia="仿宋" w:hAnsi="仿宋" w:cs="仿宋" w:hint="eastAsia"/>
          <w:sz w:val="24"/>
        </w:rPr>
        <w:t>§</w:t>
      </w:r>
      <w:r>
        <w:rPr>
          <w:rFonts w:ascii="仿宋" w:eastAsia="仿宋" w:hAnsi="仿宋" w:cs="仿宋" w:hint="eastAsia"/>
          <w:sz w:val="24"/>
        </w:rPr>
        <w:t xml:space="preserve">6 </w:t>
      </w:r>
      <w:r>
        <w:rPr>
          <w:rFonts w:ascii="仿宋" w:eastAsia="仿宋" w:hAnsi="仿宋" w:cs="仿宋" w:hint="eastAsia"/>
          <w:sz w:val="24"/>
        </w:rPr>
        <w:t>托管人报告</w:t>
      </w:r>
      <w:bookmarkEnd w:id="18"/>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本报告期内，</w:t>
      </w:r>
      <w:r>
        <w:rPr>
          <w:rFonts w:ascii="仿宋" w:eastAsia="仿宋" w:hAnsi="仿宋" w:cs="仿宋" w:hint="eastAsia"/>
          <w:sz w:val="24"/>
        </w:rPr>
        <w:t>杭州银行股份有限公司</w:t>
      </w:r>
      <w:r>
        <w:rPr>
          <w:rFonts w:ascii="仿宋" w:eastAsia="仿宋" w:hAnsi="仿宋"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本托管人复核了本产品报告中的财务指标、净值表现和投资组合报告等内容。经复核，本产品报告中披露的理财产品财</w:t>
      </w:r>
      <w:r>
        <w:rPr>
          <w:rFonts w:ascii="仿宋" w:eastAsia="仿宋" w:hAnsi="仿宋" w:cs="仿宋" w:hint="eastAsia"/>
          <w:sz w:val="24"/>
        </w:rPr>
        <w:t>务数据核对一致。</w:t>
      </w:r>
    </w:p>
    <w:p w:rsidR="0014030B">
      <w:pPr>
        <w:adjustRightInd w:val="0"/>
        <w:snapToGrid w:val="0"/>
        <w:rPr>
          <w:rFonts w:ascii="仿宋" w:eastAsia="仿宋" w:hAnsi="仿宋" w:cs="仿宋"/>
          <w:bCs/>
          <w:sz w:val="24"/>
        </w:rPr>
      </w:pPr>
    </w:p>
    <w:p w:rsidR="0014030B">
      <w:pPr>
        <w:pStyle w:val="Heading2"/>
        <w:adjustRightInd w:val="0"/>
        <w:snapToGrid w:val="0"/>
        <w:spacing w:line="560" w:lineRule="exact"/>
        <w:jc w:val="center"/>
        <w:rPr>
          <w:rFonts w:ascii="仿宋" w:eastAsia="仿宋" w:hAnsi="仿宋" w:cs="仿宋"/>
          <w:sz w:val="24"/>
        </w:rPr>
      </w:pPr>
      <w:bookmarkStart w:id="19" w:name="_Toc1161264879"/>
      <w:r>
        <w:rPr>
          <w:rFonts w:ascii="仿宋" w:eastAsia="仿宋" w:hAnsi="仿宋" w:cs="仿宋" w:hint="eastAsia"/>
          <w:sz w:val="24"/>
        </w:rPr>
        <w:t>§</w:t>
      </w:r>
      <w:r>
        <w:rPr>
          <w:rFonts w:ascii="仿宋" w:eastAsia="仿宋" w:hAnsi="仿宋" w:cs="仿宋" w:hint="eastAsia"/>
          <w:sz w:val="24"/>
        </w:rPr>
        <w:t xml:space="preserve">7 </w:t>
      </w:r>
      <w:r>
        <w:rPr>
          <w:rFonts w:ascii="仿宋" w:eastAsia="仿宋" w:hAnsi="仿宋" w:cs="仿宋" w:hint="eastAsia"/>
          <w:sz w:val="24"/>
        </w:rPr>
        <w:t>报告期内关联交易情况</w:t>
      </w:r>
      <w:bookmarkEnd w:id="19"/>
    </w:p>
    <w:p w:rsidR="0014030B">
      <w:pPr>
        <w:adjustRightInd w:val="0"/>
        <w:snapToGrid w:val="0"/>
        <w:spacing w:line="440" w:lineRule="exact"/>
        <w:outlineLvl w:val="2"/>
        <w:rPr>
          <w:rFonts w:ascii="仿宋" w:eastAsia="仿宋" w:hAnsi="仿宋" w:cs="仿宋"/>
          <w:b/>
          <w:sz w:val="24"/>
        </w:rPr>
      </w:pPr>
      <w:bookmarkStart w:id="20" w:name="_Toc1047437417"/>
      <w:r>
        <w:rPr>
          <w:rFonts w:ascii="仿宋" w:eastAsia="仿宋" w:hAnsi="仿宋" w:cs="仿宋" w:hint="eastAsia"/>
          <w:b/>
          <w:sz w:val="24"/>
        </w:rPr>
        <w:t xml:space="preserve">7.1 </w:t>
      </w:r>
      <w:r>
        <w:rPr>
          <w:rFonts w:ascii="仿宋" w:eastAsia="仿宋" w:hAnsi="仿宋" w:cs="仿宋" w:hint="eastAsia"/>
          <w:b/>
          <w:sz w:val="24"/>
        </w:rPr>
        <w:t>产品投资于关联</w:t>
      </w:r>
      <w:r>
        <w:rPr>
          <w:rFonts w:ascii="仿宋" w:eastAsia="仿宋" w:hAnsi="仿宋" w:cs="仿宋" w:hint="eastAsia"/>
          <w:b/>
          <w:sz w:val="24"/>
        </w:rPr>
        <w:t>方发行</w:t>
      </w:r>
      <w:r>
        <w:rPr>
          <w:rFonts w:ascii="仿宋" w:eastAsia="仿宋" w:hAnsi="仿宋" w:cs="仿宋" w:hint="eastAsia"/>
          <w:b/>
          <w:sz w:val="24"/>
        </w:rPr>
        <w:t>或承销的证券、资产管理产品，或其他关联交易</w:t>
      </w:r>
      <w:bookmarkEnd w:id="20"/>
    </w:p>
    <w:p w:rsidR="0014030B">
      <w:pPr>
        <w:adjustRightInd w:val="0"/>
        <w:snapToGrid w:val="0"/>
        <w:spacing w:line="440" w:lineRule="exact"/>
        <w:ind w:firstLine="6240" w:firstLineChars="2600"/>
        <w:jc w:val="right"/>
        <w:rPr>
          <w:rFonts w:ascii="仿宋" w:eastAsia="仿宋" w:hAnsi="仿宋" w:cs="仿宋"/>
          <w:b/>
          <w:sz w:val="24"/>
        </w:rPr>
      </w:pPr>
      <w:r>
        <w:rPr>
          <w:rFonts w:ascii="仿宋" w:eastAsia="仿宋" w:hAnsi="仿宋" w:cs="仿宋" w:hint="eastAsia"/>
          <w:sz w:val="24"/>
        </w:rPr>
        <w:t>单位：</w:t>
      </w:r>
      <w:r>
        <w:rPr>
          <w:rFonts w:ascii="仿宋" w:eastAsia="仿宋" w:hAnsi="仿宋" w:cs="仿宋" w:hint="eastAsia"/>
          <w:sz w:val="24"/>
        </w:rPr>
        <w:t>元</w:t>
      </w:r>
      <w:r>
        <w:rPr>
          <w:rFonts w:ascii="仿宋" w:eastAsia="仿宋" w:hAnsi="仿宋" w:cs="仿宋" w:hint="eastAsia"/>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序号</w:t>
            </w:r>
          </w:p>
        </w:tc>
        <w:tc>
          <w:tcPr>
            <w:tcW w:w="1605"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关联方</w:t>
            </w:r>
          </w:p>
        </w:tc>
        <w:tc>
          <w:tcPr>
            <w:tcW w:w="1401"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资产名称</w:t>
            </w:r>
          </w:p>
        </w:tc>
        <w:tc>
          <w:tcPr>
            <w:tcW w:w="791"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资产类型</w:t>
            </w:r>
          </w:p>
        </w:tc>
        <w:tc>
          <w:tcPr>
            <w:tcW w:w="75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交易类型</w:t>
            </w:r>
          </w:p>
        </w:tc>
        <w:tc>
          <w:tcPr>
            <w:tcW w:w="190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交易金额（</w:t>
            </w:r>
            <w:r>
              <w:rPr>
                <w:rFonts w:ascii="仿宋" w:eastAsia="仿宋" w:hAnsi="仿宋" w:cs="仿宋" w:hint="eastAsia"/>
                <w:sz w:val="24"/>
              </w:rPr>
              <w:t>元</w:t>
            </w:r>
            <w:r>
              <w:rPr>
                <w:rFonts w:ascii="仿宋" w:eastAsia="仿宋" w:hAnsi="仿宋" w:cs="仿宋" w:hint="eastAsia"/>
                <w:color w:val="000000"/>
                <w:kern w:val="0"/>
                <w:sz w:val="24"/>
              </w:rPr>
              <w:t>）</w:t>
            </w:r>
          </w:p>
        </w:tc>
        <w:tc>
          <w:tcPr>
            <w:tcW w:w="1905"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份额</w:t>
            </w:r>
          </w:p>
        </w:tc>
      </w:tr>
    </w:tbl>
    <w:p w:rsidR="0014030B">
      <w:pPr>
        <w:adjustRightInd w:val="0"/>
        <w:snapToGrid w:val="0"/>
        <w:spacing w:line="440" w:lineRule="exact"/>
        <w:outlineLvl w:val="2"/>
        <w:rPr>
          <w:rFonts w:ascii="仿宋" w:eastAsia="仿宋" w:hAnsi="仿宋" w:cs="仿宋"/>
          <w:b/>
          <w:sz w:val="24"/>
        </w:rPr>
      </w:pPr>
      <w:bookmarkStart w:id="21" w:name="_Toc1357213060"/>
      <w:r>
        <w:rPr>
          <w:rFonts w:ascii="仿宋" w:eastAsia="仿宋" w:hAnsi="仿宋" w:cs="仿宋" w:hint="eastAsia"/>
          <w:b/>
          <w:sz w:val="24"/>
        </w:rPr>
        <w:t xml:space="preserve">7.2 </w:t>
      </w:r>
      <w:r>
        <w:rPr>
          <w:rFonts w:ascii="仿宋" w:eastAsia="仿宋" w:hAnsi="仿宋" w:cs="仿宋" w:hint="eastAsia"/>
          <w:b/>
          <w:sz w:val="24"/>
        </w:rPr>
        <w:t>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序号</w:t>
            </w:r>
          </w:p>
        </w:tc>
        <w:tc>
          <w:tcPr>
            <w:tcW w:w="2958"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关联方</w:t>
            </w:r>
          </w:p>
        </w:tc>
        <w:tc>
          <w:tcPr>
            <w:tcW w:w="2202"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费用类型</w:t>
            </w:r>
          </w:p>
        </w:tc>
        <w:tc>
          <w:tcPr>
            <w:tcW w:w="3140"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交易金额（</w:t>
            </w:r>
            <w:r>
              <w:rPr>
                <w:rFonts w:ascii="仿宋" w:eastAsia="仿宋" w:hAnsi="仿宋" w:cs="仿宋" w:hint="eastAsia"/>
                <w:color w:val="000000"/>
                <w:kern w:val="0"/>
                <w:sz w:val="24"/>
              </w:rPr>
              <w:t>元</w:t>
            </w:r>
            <w:r>
              <w:rPr>
                <w:rFonts w:ascii="仿宋" w:eastAsia="仿宋" w:hAnsi="仿宋" w:cs="仿宋" w:hint="eastAsia"/>
                <w:color w:val="000000"/>
                <w:kern w:val="0"/>
                <w:sz w:val="24"/>
              </w:rPr>
              <w:t>）</w:t>
            </w:r>
          </w:p>
        </w:tc>
      </w:tr>
    </w:tbl>
    <w:p w:rsidR="0014030B">
      <w:pPr>
        <w:widowControl/>
        <w:adjustRightInd w:val="0"/>
        <w:snapToGrid w:val="0"/>
        <w:ind w:firstLine="480" w:firstLineChars="200"/>
        <w:jc w:val="left"/>
        <w:rPr>
          <w:rFonts w:ascii="仿宋" w:eastAsia="仿宋" w:hAnsi="仿宋" w:cs="仿宋"/>
          <w:color w:val="404040"/>
          <w:kern w:val="0"/>
          <w:sz w:val="24"/>
        </w:rPr>
      </w:pPr>
    </w:p>
    <w:p w:rsidR="0014030B">
      <w:pPr>
        <w:pStyle w:val="Heading2"/>
        <w:adjustRightInd w:val="0"/>
        <w:snapToGrid w:val="0"/>
        <w:spacing w:line="560" w:lineRule="atLeast"/>
        <w:jc w:val="center"/>
        <w:rPr>
          <w:rFonts w:ascii="仿宋" w:eastAsia="仿宋" w:hAnsi="仿宋" w:cs="仿宋"/>
          <w:bCs/>
          <w:sz w:val="24"/>
        </w:rPr>
      </w:pPr>
      <w:bookmarkStart w:id="22" w:name="_Toc108600986"/>
      <w:r>
        <w:rPr>
          <w:rFonts w:ascii="仿宋" w:eastAsia="仿宋" w:hAnsi="仿宋" w:cs="仿宋" w:hint="eastAsia"/>
          <w:bCs/>
          <w:sz w:val="24"/>
        </w:rPr>
        <w:t>§</w:t>
      </w:r>
      <w:r>
        <w:rPr>
          <w:rFonts w:ascii="仿宋" w:eastAsia="仿宋" w:hAnsi="仿宋" w:cs="仿宋"/>
          <w:bCs/>
          <w:sz w:val="24"/>
        </w:rPr>
        <w:t>8</w:t>
      </w:r>
      <w:r>
        <w:rPr>
          <w:rFonts w:ascii="仿宋" w:eastAsia="仿宋" w:hAnsi="仿宋" w:cs="仿宋" w:hint="eastAsia"/>
          <w:bCs/>
          <w:sz w:val="24"/>
        </w:rPr>
        <w:t xml:space="preserve"> </w:t>
      </w:r>
      <w:r>
        <w:rPr>
          <w:rFonts w:ascii="仿宋" w:eastAsia="仿宋" w:hAnsi="仿宋" w:cs="仿宋" w:hint="eastAsia"/>
          <w:bCs/>
          <w:sz w:val="24"/>
        </w:rPr>
        <w:t>投资账户信息</w:t>
      </w:r>
      <w:bookmarkEnd w:id="22"/>
    </w:p>
    <w:p w:rsidR="0014030B"/>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户名</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杭银理财幸福99丰裕固收22078期理财</w:t>
            </w:r>
          </w:p>
        </w:tc>
      </w:tr>
      <w:tr>
        <w:tblPrEx>
          <w:tblW w:w="8983" w:type="dxa"/>
          <w:tblInd w:w="65" w:type="dxa"/>
          <w:tblLayout w:type="fixed"/>
          <w:tblLook w:val="04A0"/>
        </w:tblPrEx>
        <w:trPr>
          <w:trHeight w:val="179"/>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账号</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3301040160015309811-5122078</w:t>
            </w:r>
          </w:p>
        </w:tc>
      </w:tr>
      <w:tr>
        <w:tblPrEx>
          <w:tblW w:w="8983" w:type="dxa"/>
          <w:tblInd w:w="65" w:type="dxa"/>
          <w:tblLayout w:type="fixed"/>
          <w:tblLook w:val="04A0"/>
        </w:tblPrEx>
        <w:trPr>
          <w:trHeight w:val="163"/>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开户行</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杭州银行总行营业部</w:t>
            </w:r>
          </w:p>
        </w:tc>
      </w:tr>
    </w:tbl>
    <w:p w:rsidR="0014030B">
      <w:pPr>
        <w:widowControl/>
        <w:adjustRightInd w:val="0"/>
        <w:snapToGrid w:val="0"/>
        <w:ind w:firstLine="480" w:firstLineChars="200"/>
        <w:jc w:val="left"/>
        <w:rPr>
          <w:rFonts w:ascii="仿宋" w:eastAsia="仿宋" w:hAnsi="仿宋" w:cs="仿宋"/>
          <w:color w:val="404040"/>
          <w:kern w:val="0"/>
          <w:sz w:val="24"/>
        </w:rPr>
      </w:pPr>
    </w:p>
    <w:p w:rsidR="0014030B">
      <w:pPr>
        <w:ind w:left="360"/>
        <w:jc w:val="right"/>
        <w:rPr>
          <w:rFonts w:ascii="仿宋" w:eastAsia="仿宋" w:hAnsi="仿宋" w:cs="仿宋"/>
          <w:sz w:val="24"/>
        </w:rPr>
      </w:pPr>
    </w:p>
    <w:p w:rsidR="0014030B">
      <w:pPr>
        <w:ind w:left="360"/>
        <w:jc w:val="right"/>
        <w:rPr>
          <w:rFonts w:ascii="仿宋" w:eastAsia="仿宋" w:hAnsi="仿宋" w:cs="仿宋"/>
          <w:sz w:val="24"/>
        </w:rPr>
      </w:pPr>
      <w:r>
        <w:rPr>
          <w:rFonts w:ascii="仿宋" w:eastAsia="仿宋" w:hAnsi="仿宋" w:cs="仿宋" w:hint="eastAsia"/>
          <w:sz w:val="24"/>
        </w:rPr>
        <w:t>杭银理财</w:t>
      </w:r>
      <w:r>
        <w:rPr>
          <w:rFonts w:ascii="仿宋" w:eastAsia="仿宋" w:hAnsi="仿宋" w:cs="仿宋" w:hint="eastAsia"/>
          <w:sz w:val="24"/>
        </w:rPr>
        <w:t>有限责任公司</w:t>
      </w:r>
    </w:p>
    <w:p w:rsidR="0014030B">
      <w:pPr>
        <w:jc w:val="right"/>
        <w:rPr>
          <w:sz w:val="24"/>
        </w:rPr>
      </w:pPr>
      <w:r>
        <w:rPr>
          <w:rFonts w:ascii="仿宋" w:eastAsia="仿宋" w:hAnsi="仿宋" w:cs="仿宋" w:hint="eastAsia"/>
          <w:sz w:val="24"/>
        </w:rPr>
        <w:t>2024年7月12日</w:t>
      </w:r>
    </w:p>
    <w:p w:rsidR="0014030B"/>
    <w:p w:rsidR="0014030B"/>
    <w:sectPr>
      <w:headerReference w:type="default" r:id="rId5"/>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17702"/>
    <w:rsid w:val="000F2819"/>
    <w:rsid w:val="00134D0D"/>
    <w:rsid w:val="0014030B"/>
    <w:rsid w:val="00193057"/>
    <w:rsid w:val="001F6316"/>
    <w:rsid w:val="00205A23"/>
    <w:rsid w:val="00260BF6"/>
    <w:rsid w:val="002F014C"/>
    <w:rsid w:val="003D3797"/>
    <w:rsid w:val="004458C8"/>
    <w:rsid w:val="00461C5A"/>
    <w:rsid w:val="00475B00"/>
    <w:rsid w:val="005F727E"/>
    <w:rsid w:val="006C1F4E"/>
    <w:rsid w:val="006E38F7"/>
    <w:rsid w:val="00701460"/>
    <w:rsid w:val="00761119"/>
    <w:rsid w:val="007D72E4"/>
    <w:rsid w:val="00815E4F"/>
    <w:rsid w:val="0082523D"/>
    <w:rsid w:val="00886687"/>
    <w:rsid w:val="00990402"/>
    <w:rsid w:val="00AA1E04"/>
    <w:rsid w:val="00AB1208"/>
    <w:rsid w:val="00B43FDA"/>
    <w:rsid w:val="00BC29D8"/>
    <w:rsid w:val="00C30F1B"/>
    <w:rsid w:val="00CA2B83"/>
    <w:rsid w:val="00CE5B30"/>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1E7DE3B"/>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21</cp:revision>
  <dcterms:created xsi:type="dcterms:W3CDTF">2023-04-14T06:44:00Z</dcterms:created>
  <dcterms:modified xsi:type="dcterms:W3CDTF">2024-07-08T08:56:00Z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