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837" w:lineRule="atLeast"/>
        <w:jc w:val="center"/>
        <w:outlineLvl w:val="1"/>
        <w:rPr>
          <w:rFonts w:ascii="微软雅黑" w:hAnsi="微软雅黑" w:cs="宋体"/>
          <w:b/>
          <w:bCs/>
          <w:color w:val="004EA2"/>
          <w:kern w:val="0"/>
          <w:sz w:val="27"/>
          <w:szCs w:val="27"/>
        </w:rPr>
      </w:pPr>
      <w:r>
        <w:rPr>
          <w:rFonts w:hint="eastAsia" w:ascii="微软雅黑" w:hAnsi="微软雅黑" w:cs="宋体"/>
          <w:b/>
          <w:bCs/>
          <w:color w:val="004EA2"/>
          <w:kern w:val="0"/>
          <w:sz w:val="27"/>
          <w:szCs w:val="27"/>
        </w:rPr>
        <w:t>季添益1907期</w:t>
      </w:r>
      <w:r>
        <w:rPr>
          <w:rFonts w:ascii="微软雅黑" w:hAnsi="微软雅黑" w:eastAsia="微软雅黑" w:cs="微软雅黑"/>
          <w:b/>
          <w:color w:val="004EA2"/>
          <w:sz w:val="27"/>
        </w:rPr>
        <w:t>（TYG3M1907）</w:t>
      </w:r>
    </w:p>
    <w:p>
      <w:pPr>
        <w:widowControl/>
        <w:shd w:val="clear" w:color="auto" w:fill="FFFFFF"/>
        <w:spacing w:line="837" w:lineRule="atLeast"/>
        <w:jc w:val="center"/>
        <w:outlineLvl w:val="1"/>
        <w:rPr>
          <w:rFonts w:ascii="微软雅黑" w:hAnsi="微软雅黑" w:cs="宋体"/>
          <w:b/>
          <w:bCs/>
          <w:color w:val="004EA2"/>
          <w:kern w:val="0"/>
          <w:sz w:val="27"/>
          <w:szCs w:val="27"/>
        </w:rPr>
      </w:pPr>
      <w:r>
        <w:rPr>
          <w:rFonts w:hint="eastAsia" w:ascii="微软雅黑" w:hAnsi="微软雅黑" w:cs="宋体"/>
          <w:b/>
          <w:bCs/>
          <w:color w:val="004EA2"/>
          <w:kern w:val="0"/>
          <w:sz w:val="27"/>
          <w:szCs w:val="27"/>
        </w:rPr>
        <w:t>业绩比较基准及开放期公告</w:t>
      </w:r>
    </w:p>
    <w:p>
      <w:pPr>
        <w:widowControl/>
        <w:tabs>
          <w:tab w:val="left" w:pos="2930"/>
        </w:tabs>
        <w:jc w:val="left"/>
        <w:rPr>
          <w:rFonts w:ascii="宋体" w:hAnsi="宋体" w:cs="宋体"/>
          <w:color w:val="333333"/>
          <w:kern w:val="0"/>
          <w:sz w:val="24"/>
        </w:rPr>
      </w:pPr>
    </w:p>
    <w:p>
      <w:pPr>
        <w:widowControl/>
        <w:tabs>
          <w:tab w:val="left" w:pos="2930"/>
        </w:tabs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尊敬的投资者：</w:t>
      </w:r>
    </w:p>
    <w:p>
      <w:pPr>
        <w:widowControl/>
        <w:tabs>
          <w:tab w:val="left" w:pos="2930"/>
        </w:tabs>
        <w:spacing w:before="100" w:beforeAutospacing="1" w:after="100" w:afterAutospacing="1" w:line="360" w:lineRule="auto"/>
        <w:ind w:firstLine="480" w:firstLineChars="20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根据市场情况及产品投资的资产组合收益变动情况，</w:t>
      </w:r>
      <w:r>
        <w:rPr>
          <w:rFonts w:ascii="宋体" w:hAnsi="宋体" w:eastAsia="宋体" w:cs="宋体"/>
          <w:color w:val="333333"/>
          <w:sz w:val="24"/>
        </w:rPr>
        <w:t>季添益1907期（产品编号：TYG3M1907）下一运行周期（2024-5-8至2024-8-6）的业绩比较基准如下：</w:t>
      </w:r>
    </w:p>
    <w:tbl>
      <w:tblPr>
        <w:tblStyle w:val="8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8"/>
        <w:gridCol w:w="4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8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销售代码</w:t>
            </w:r>
          </w:p>
        </w:tc>
        <w:tc>
          <w:tcPr>
            <w:tcW w:w="4258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业绩比较基准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8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TYG3M1907</w:t>
            </w:r>
          </w:p>
        </w:tc>
        <w:tc>
          <w:tcPr>
            <w:tcW w:w="4258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2.60%-3.30%</w:t>
            </w:r>
          </w:p>
        </w:tc>
      </w:tr>
    </w:tbl>
    <w:p>
      <w:pPr>
        <w:widowControl/>
        <w:tabs>
          <w:tab w:val="left" w:pos="2930"/>
        </w:tabs>
        <w:spacing w:before="100" w:beforeAutospacing="1" w:after="100" w:afterAutospacing="1" w:line="360" w:lineRule="auto"/>
        <w:ind w:firstLine="480" w:firstLineChars="200"/>
        <w:jc w:val="left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color w:val="333333"/>
          <w:kern w:val="0"/>
          <w:sz w:val="24"/>
        </w:rPr>
        <w:t>开放期具体安排如下，开放期最后一日及确认日如遇非工作日，则依次顺延至下一个工作日，敬请投资者关注，提前做好投资安排。</w:t>
      </w:r>
    </w:p>
    <w:tbl>
      <w:tblPr>
        <w:tblStyle w:val="8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007"/>
        <w:gridCol w:w="2150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526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3007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开放时间安排</w:t>
            </w:r>
          </w:p>
        </w:tc>
        <w:tc>
          <w:tcPr>
            <w:tcW w:w="2150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确认日</w:t>
            </w:r>
          </w:p>
        </w:tc>
        <w:tc>
          <w:tcPr>
            <w:tcW w:w="1897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交易类型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526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本周期</w:t>
            </w:r>
          </w:p>
        </w:tc>
        <w:tc>
          <w:tcPr>
            <w:tcW w:w="3007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2024-4-24</w:t>
            </w:r>
            <w:r>
              <w:rPr>
                <w:rFonts w:ascii="宋体" w:hAnsi="宋体" w:eastAsia="宋体" w:cs="宋体"/>
                <w:color w:val="333333"/>
                <w:sz w:val="24"/>
              </w:rPr>
              <w:t xml:space="preserve"> 9:00至 2024-5-7 17:00</w:t>
            </w:r>
          </w:p>
        </w:tc>
        <w:tc>
          <w:tcPr>
            <w:tcW w:w="2150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2024-5-8</w:t>
            </w:r>
          </w:p>
        </w:tc>
        <w:tc>
          <w:tcPr>
            <w:tcW w:w="1897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可申购、可赎回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526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下一周期</w:t>
            </w:r>
          </w:p>
        </w:tc>
        <w:tc>
          <w:tcPr>
            <w:tcW w:w="3007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2024-7-31</w:t>
            </w:r>
            <w:r>
              <w:rPr>
                <w:rFonts w:ascii="宋体" w:hAnsi="宋体" w:eastAsia="宋体" w:cs="宋体"/>
                <w:color w:val="333333"/>
                <w:sz w:val="24"/>
              </w:rPr>
              <w:t xml:space="preserve"> 9:00至2024-8-6 17:00</w:t>
            </w:r>
          </w:p>
        </w:tc>
        <w:tc>
          <w:tcPr>
            <w:tcW w:w="2150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2024-8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-7</w:t>
            </w:r>
          </w:p>
        </w:tc>
        <w:tc>
          <w:tcPr>
            <w:tcW w:w="1897" w:type="dxa"/>
          </w:tcPr>
          <w:p>
            <w:pPr>
              <w:widowControl/>
              <w:tabs>
                <w:tab w:val="left" w:pos="2930"/>
              </w:tabs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可申购、可赎回</w:t>
            </w:r>
          </w:p>
        </w:tc>
      </w:tr>
    </w:tbl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注：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本理财计划业绩比较基准由管理人根据投资范围及投资策略，结合市场环境因素进行测算而得出。业绩比较基准是管理人基于理财计划收益风险特征、投资策略、过往经验等因素对理财计划业绩设定的投资目标，不代表理财计划的未来表现和实际收益，也不构成对理财计划收益的承诺。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default" w:ascii="宋体" w:hAnsi="宋体" w:cs="宋体" w:eastAsiaTheme="minorEastAsia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如法定节假日调整，管理人将对公告中的日期做出相应调整，以管理人最新公告为准。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开放时间具体安排以销售机构规定为准。</w:t>
      </w:r>
    </w:p>
    <w:p>
      <w:pPr>
        <w:widowControl/>
        <w:jc w:val="right"/>
        <w:rPr>
          <w:rFonts w:ascii="微软雅黑" w:hAnsi="微软雅黑" w:cs="宋体"/>
          <w:color w:val="333333"/>
          <w:kern w:val="0"/>
          <w:sz w:val="24"/>
        </w:rPr>
      </w:pPr>
      <w:r>
        <w:rPr>
          <w:rFonts w:hint="eastAsia" w:ascii="微软雅黑" w:hAnsi="微软雅黑" w:cs="宋体"/>
          <w:color w:val="333333"/>
          <w:kern w:val="0"/>
          <w:sz w:val="24"/>
        </w:rPr>
        <w:t>                         杭银理财有限责任公司</w:t>
      </w:r>
    </w:p>
    <w:p>
      <w:pPr>
        <w:widowControl/>
        <w:jc w:val="right"/>
      </w:pPr>
      <w:r>
        <w:rPr>
          <w:rFonts w:hint="eastAsia" w:ascii="宋体" w:hAnsi="宋体" w:cs="宋体"/>
          <w:color w:val="333333"/>
          <w:kern w:val="0"/>
          <w:sz w:val="24"/>
        </w:rPr>
        <w:t>                         </w:t>
      </w:r>
      <w:r>
        <w:rPr>
          <w:rFonts w:ascii="宋体" w:hAnsi="宋体" w:eastAsia="宋体" w:cs="宋体"/>
          <w:color w:val="333333"/>
          <w:sz w:val="24"/>
        </w:rPr>
        <w:t>2024年4月15日</w:t>
      </w:r>
    </w:p>
    <w:sectPr>
      <w:headerReference r:id="rId3" w:type="default"/>
      <w:pgSz w:w="11906" w:h="16838"/>
      <w:pgMar w:top="2551" w:right="1803" w:bottom="2551" w:left="1803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43800" cy="10671810"/>
          <wp:effectExtent l="0" t="0" r="0" b="15240"/>
          <wp:wrapNone/>
          <wp:docPr id="5" name="WordPictureWatermark140627" descr="微信图片_20220817144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140627" descr="微信图片_2022081714432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67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AA571"/>
    <w:multiLevelType w:val="singleLevel"/>
    <w:tmpl w:val="7C1AA57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lY2ZiYmExOWJmOTY5NWFmNzQwOWFhNmE0ZjgxMTMifQ=="/>
  </w:docVars>
  <w:rsids>
    <w:rsidRoot w:val="00000000"/>
    <w:rsid w:val="3881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400" w:lineRule="exact"/>
      <w:jc w:val="center"/>
      <w:outlineLvl w:val="0"/>
    </w:pPr>
    <w:rPr>
      <w:rFonts w:ascii="Times New Roman" w:hAnsi="Times New Roman" w:eastAsia="宋体"/>
      <w:b/>
      <w:kern w:val="44"/>
      <w:sz w:val="2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00" w:lineRule="exact"/>
      <w:jc w:val="left"/>
      <w:outlineLvl w:val="1"/>
    </w:pPr>
    <w:rPr>
      <w:rFonts w:ascii="Arial" w:hAnsi="Arial" w:eastAsia="宋体"/>
      <w:b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00" w:lineRule="exact"/>
      <w:jc w:val="left"/>
      <w:outlineLvl w:val="2"/>
    </w:pPr>
    <w:rPr>
      <w:rFonts w:ascii="Times New Roman" w:hAnsi="Times New Roman" w:eastAsia="宋体"/>
      <w:b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516</Characters>
  <Lines>4</Lines>
  <Paragraphs>1</Paragraphs>
  <TotalTime>1</TotalTime>
  <ScaleCrop>false</ScaleCrop>
  <LinksUpToDate>false</LinksUpToDate>
  <CharactersWithSpaces>605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2022-08-17T14:47:00Z</dcterms:created>
  <dc:creator>Administrator</dc:creator>
  <cp:lastModifiedBy>陈舒虹</cp:lastModifiedBy>
  <dcterms:modified xsi:type="dcterms:W3CDTF">2024-04-15T06:55:51Z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156FBEF45315492997A928A82EDAEB25</vt:lpwstr>
  </property>
  <property fmtid="{D5CDD505-2E9C-101B-9397-08002B2CF9AE}" pid="3" name="KSOProductBuildVer">
    <vt:lpwstr>2052-11.8.2.8411</vt:lpwstr>
  </property>
</Properties>
</file>